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1C4F6DE7" w:rsidR="00156A1A" w:rsidRPr="007728E8" w:rsidRDefault="003568B6" w:rsidP="00156A1A">
      <w:pPr>
        <w:pStyle w:val="CRCoverPage"/>
        <w:tabs>
          <w:tab w:val="right" w:pos="9639"/>
        </w:tabs>
        <w:spacing w:after="0"/>
        <w:rPr>
          <w:b/>
          <w:i/>
          <w:noProof/>
          <w:sz w:val="28"/>
        </w:rPr>
      </w:pPr>
      <w:r>
        <w:rPr>
          <w:b/>
          <w:noProof/>
          <w:sz w:val="24"/>
        </w:rPr>
        <w:t>3GPP TSG-RAN</w:t>
      </w:r>
      <w:r w:rsidR="000C5C45">
        <w:rPr>
          <w:b/>
          <w:noProof/>
          <w:sz w:val="24"/>
        </w:rPr>
        <w:t xml:space="preserve"> WG</w:t>
      </w:r>
      <w:r>
        <w:rPr>
          <w:b/>
          <w:noProof/>
          <w:sz w:val="24"/>
        </w:rPr>
        <w:t>2</w:t>
      </w:r>
      <w:r w:rsidR="0023128E">
        <w:rPr>
          <w:b/>
          <w:noProof/>
          <w:sz w:val="24"/>
        </w:rPr>
        <w:t xml:space="preserve"> </w:t>
      </w:r>
      <w:r w:rsidR="008F1033">
        <w:rPr>
          <w:b/>
          <w:noProof/>
          <w:sz w:val="24"/>
        </w:rPr>
        <w:t>Meeting</w:t>
      </w:r>
      <w:r w:rsidR="0023128E">
        <w:rPr>
          <w:b/>
          <w:noProof/>
          <w:sz w:val="24"/>
        </w:rPr>
        <w:t xml:space="preserve"> </w:t>
      </w:r>
      <w:r w:rsidR="000C5C45">
        <w:rPr>
          <w:b/>
          <w:noProof/>
          <w:sz w:val="24"/>
        </w:rPr>
        <w:t>#</w:t>
      </w:r>
      <w:r w:rsidR="00F61777">
        <w:rPr>
          <w:b/>
          <w:noProof/>
          <w:sz w:val="24"/>
        </w:rPr>
        <w:t>100</w:t>
      </w:r>
      <w:r w:rsidR="00156A1A">
        <w:rPr>
          <w:b/>
          <w:i/>
          <w:noProof/>
          <w:sz w:val="28"/>
        </w:rPr>
        <w:tab/>
      </w:r>
      <w:r w:rsidR="006C6B47">
        <w:rPr>
          <w:b/>
          <w:i/>
          <w:noProof/>
          <w:sz w:val="28"/>
        </w:rPr>
        <w:t xml:space="preserve"> </w:t>
      </w:r>
      <w:r w:rsidR="0019353C">
        <w:rPr>
          <w:b/>
          <w:i/>
          <w:noProof/>
          <w:sz w:val="28"/>
        </w:rPr>
        <w:t xml:space="preserve">     </w:t>
      </w:r>
      <w:r w:rsidR="00D25DB0">
        <w:rPr>
          <w:b/>
          <w:i/>
          <w:noProof/>
          <w:sz w:val="28"/>
        </w:rPr>
        <w:t xml:space="preserve">  </w:t>
      </w:r>
      <w:bookmarkStart w:id="0" w:name="_GoBack"/>
      <w:bookmarkEnd w:id="0"/>
      <w:r w:rsidR="0019353C">
        <w:rPr>
          <w:b/>
          <w:i/>
          <w:noProof/>
          <w:sz w:val="28"/>
        </w:rPr>
        <w:t xml:space="preserve"> </w:t>
      </w:r>
      <w:r w:rsidR="00A1587B" w:rsidRPr="0019353C">
        <w:rPr>
          <w:b/>
          <w:noProof/>
          <w:sz w:val="24"/>
          <w:szCs w:val="24"/>
        </w:rPr>
        <w:t>R2-</w:t>
      </w:r>
      <w:r w:rsidR="004C54F1" w:rsidRPr="0019353C">
        <w:rPr>
          <w:b/>
          <w:noProof/>
          <w:sz w:val="24"/>
          <w:szCs w:val="24"/>
        </w:rPr>
        <w:t>1</w:t>
      </w:r>
      <w:r w:rsidR="00F55483" w:rsidRPr="0019353C">
        <w:rPr>
          <w:b/>
          <w:noProof/>
          <w:sz w:val="24"/>
          <w:szCs w:val="24"/>
        </w:rPr>
        <w:t>7</w:t>
      </w:r>
      <w:r w:rsidR="00D61AED">
        <w:rPr>
          <w:b/>
          <w:noProof/>
          <w:sz w:val="24"/>
          <w:szCs w:val="24"/>
        </w:rPr>
        <w:t>13077</w:t>
      </w:r>
    </w:p>
    <w:p w14:paraId="108BB94C" w14:textId="6F90B714" w:rsidR="00156A1A" w:rsidRDefault="00D37AC2" w:rsidP="00156A1A">
      <w:pPr>
        <w:pStyle w:val="CRCoverPage"/>
        <w:rPr>
          <w:b/>
          <w:noProof/>
          <w:sz w:val="24"/>
        </w:rPr>
      </w:pPr>
      <w:r>
        <w:rPr>
          <w:b/>
          <w:sz w:val="24"/>
          <w:szCs w:val="24"/>
        </w:rPr>
        <w:t>Reno</w:t>
      </w:r>
      <w:r w:rsidR="00B60132" w:rsidRPr="00B60132">
        <w:rPr>
          <w:b/>
          <w:sz w:val="24"/>
          <w:szCs w:val="24"/>
        </w:rPr>
        <w:t xml:space="preserve">, </w:t>
      </w:r>
      <w:r>
        <w:rPr>
          <w:b/>
          <w:sz w:val="24"/>
          <w:szCs w:val="24"/>
        </w:rPr>
        <w:t>Nevada, USA</w:t>
      </w:r>
      <w:r w:rsidR="00C1498B">
        <w:rPr>
          <w:b/>
          <w:sz w:val="24"/>
          <w:szCs w:val="24"/>
        </w:rPr>
        <w:t xml:space="preserve"> </w:t>
      </w:r>
      <w:r w:rsidR="000B4201">
        <w:rPr>
          <w:b/>
          <w:sz w:val="24"/>
          <w:szCs w:val="24"/>
        </w:rPr>
        <w:t xml:space="preserve">, </w:t>
      </w:r>
      <w:r w:rsidR="00B61606">
        <w:rPr>
          <w:b/>
          <w:sz w:val="24"/>
          <w:szCs w:val="24"/>
        </w:rPr>
        <w:t>27</w:t>
      </w:r>
      <w:r w:rsidR="00B61606">
        <w:rPr>
          <w:b/>
          <w:sz w:val="24"/>
          <w:szCs w:val="24"/>
          <w:vertAlign w:val="superscript"/>
        </w:rPr>
        <w:t>th</w:t>
      </w:r>
      <w:r w:rsidR="000B4201">
        <w:rPr>
          <w:b/>
          <w:sz w:val="24"/>
          <w:szCs w:val="24"/>
        </w:rPr>
        <w:t xml:space="preserve"> </w:t>
      </w:r>
      <w:r w:rsidR="00B61606">
        <w:rPr>
          <w:b/>
          <w:sz w:val="24"/>
          <w:szCs w:val="24"/>
        </w:rPr>
        <w:t>November</w:t>
      </w:r>
      <w:r w:rsidR="0033003F">
        <w:rPr>
          <w:b/>
          <w:sz w:val="24"/>
          <w:szCs w:val="24"/>
        </w:rPr>
        <w:t>-</w:t>
      </w:r>
      <w:r w:rsidR="000B4201">
        <w:rPr>
          <w:b/>
          <w:sz w:val="24"/>
          <w:szCs w:val="24"/>
        </w:rPr>
        <w:t xml:space="preserve"> </w:t>
      </w:r>
      <w:r w:rsidR="00082CF7">
        <w:rPr>
          <w:b/>
          <w:sz w:val="24"/>
          <w:szCs w:val="24"/>
        </w:rPr>
        <w:t>1</w:t>
      </w:r>
      <w:r w:rsidR="00B61606">
        <w:rPr>
          <w:b/>
          <w:sz w:val="24"/>
          <w:szCs w:val="24"/>
          <w:vertAlign w:val="superscript"/>
        </w:rPr>
        <w:t>st</w:t>
      </w:r>
      <w:r w:rsidR="000B4201">
        <w:rPr>
          <w:b/>
          <w:sz w:val="24"/>
          <w:szCs w:val="24"/>
        </w:rPr>
        <w:t xml:space="preserve"> </w:t>
      </w:r>
      <w:r w:rsidR="00B61606">
        <w:rPr>
          <w:b/>
          <w:sz w:val="24"/>
          <w:szCs w:val="24"/>
        </w:rPr>
        <w:t>December</w:t>
      </w:r>
      <w:r w:rsidR="0033003F">
        <w:rPr>
          <w:b/>
          <w:sz w:val="24"/>
          <w:szCs w:val="24"/>
        </w:rPr>
        <w:t>,</w:t>
      </w:r>
      <w:r w:rsidR="002C600F" w:rsidRPr="009E4773">
        <w:rPr>
          <w:b/>
          <w:sz w:val="24"/>
          <w:szCs w:val="24"/>
        </w:rPr>
        <w:t xml:space="preserve"> </w:t>
      </w:r>
      <w:r w:rsidR="00D368AF">
        <w:rPr>
          <w:b/>
          <w:sz w:val="24"/>
          <w:szCs w:val="24"/>
        </w:rPr>
        <w:t>201</w:t>
      </w:r>
      <w:r w:rsidR="00F55483">
        <w:rPr>
          <w:b/>
          <w:sz w:val="24"/>
          <w:szCs w:val="24"/>
        </w:rPr>
        <w:t>7</w:t>
      </w:r>
    </w:p>
    <w:p w14:paraId="5B50511B" w14:textId="0E77AF62"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D61AED">
        <w:rPr>
          <w:b/>
          <w:noProof/>
          <w:sz w:val="24"/>
        </w:rPr>
        <w:t>3</w:t>
      </w:r>
      <w:r w:rsidR="00965E72">
        <w:rPr>
          <w:b/>
          <w:noProof/>
          <w:sz w:val="24"/>
        </w:rPr>
        <w:t>.</w:t>
      </w:r>
      <w:r w:rsidR="00D61AED">
        <w:rPr>
          <w:b/>
          <w:noProof/>
          <w:sz w:val="24"/>
        </w:rPr>
        <w:t>1</w:t>
      </w:r>
      <w:r w:rsidR="00965E72">
        <w:rPr>
          <w:b/>
          <w:noProof/>
          <w:sz w:val="24"/>
        </w:rPr>
        <w:t>.</w:t>
      </w:r>
      <w:r w:rsidR="00D61AED">
        <w:rPr>
          <w:b/>
          <w:noProof/>
          <w:sz w:val="24"/>
        </w:rPr>
        <w:t>9</w:t>
      </w:r>
    </w:p>
    <w:p w14:paraId="33445100" w14:textId="171AE06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w:t>
      </w:r>
    </w:p>
    <w:p w14:paraId="5EE43ED2" w14:textId="169DD421"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EE118F" w:rsidRPr="00EE118F">
        <w:rPr>
          <w:b/>
          <w:noProof/>
          <w:sz w:val="24"/>
        </w:rPr>
        <w:t>Handle ongoing HARQ process when BWP switching occurs</w:t>
      </w:r>
    </w:p>
    <w:bookmarkEnd w:id="1"/>
    <w:bookmarkEnd w:id="2"/>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D28DCE1" w14:textId="00C3F195" w:rsidR="00124334" w:rsidRDefault="00124334" w:rsidP="00885F10">
      <w:pPr>
        <w:jc w:val="both"/>
        <w:rPr>
          <w:rFonts w:ascii="Arial" w:hAnsi="Arial" w:cs="Arial"/>
          <w:lang w:eastAsia="ko-KR"/>
        </w:rPr>
      </w:pPr>
      <w:r>
        <w:rPr>
          <w:rFonts w:ascii="Arial" w:hAnsi="Arial" w:cs="Arial"/>
          <w:lang w:eastAsia="ko-KR"/>
        </w:rPr>
        <w:t>In RAN2</w:t>
      </w:r>
      <w:r w:rsidR="00234BFD">
        <w:rPr>
          <w:rFonts w:ascii="Arial" w:hAnsi="Arial" w:cs="Arial"/>
          <w:lang w:eastAsia="ko-KR"/>
        </w:rPr>
        <w:t xml:space="preserve"> #99bis</w:t>
      </w:r>
      <w:r>
        <w:rPr>
          <w:rFonts w:ascii="Arial" w:hAnsi="Arial" w:cs="Arial"/>
          <w:lang w:eastAsia="ko-KR"/>
        </w:rPr>
        <w:t xml:space="preserve"> meetings, </w:t>
      </w:r>
      <w:r w:rsidR="006903C9">
        <w:rPr>
          <w:rFonts w:ascii="Arial" w:hAnsi="Arial" w:cs="Arial"/>
          <w:lang w:eastAsia="ko-KR"/>
        </w:rPr>
        <w:t>we have follow agreements about</w:t>
      </w:r>
      <w:r w:rsidR="009102E3">
        <w:rPr>
          <w:rFonts w:ascii="Arial" w:hAnsi="Arial" w:cs="Arial"/>
          <w:lang w:eastAsia="ko-KR"/>
        </w:rPr>
        <w:t xml:space="preserve"> HARQ during </w:t>
      </w:r>
      <w:r w:rsidR="006903C9">
        <w:rPr>
          <w:rFonts w:ascii="Arial" w:hAnsi="Arial" w:cs="Arial"/>
          <w:lang w:eastAsia="ko-KR"/>
        </w:rPr>
        <w:t>BWP</w:t>
      </w:r>
      <w:r w:rsidR="009102E3">
        <w:rPr>
          <w:rFonts w:ascii="Arial" w:hAnsi="Arial" w:cs="Arial"/>
          <w:lang w:eastAsia="ko-KR"/>
        </w:rPr>
        <w:t xml:space="preserve"> switching</w:t>
      </w:r>
      <w:r w:rsidR="006903C9">
        <w:rPr>
          <w:rFonts w:ascii="Arial" w:hAnsi="Arial" w:cs="Arial"/>
          <w:lang w:eastAsia="ko-KR"/>
        </w:rPr>
        <w:t>.</w:t>
      </w:r>
    </w:p>
    <w:p w14:paraId="4CD8A360" w14:textId="77777777" w:rsidR="005C6C3E" w:rsidRPr="00AD4BC6" w:rsidRDefault="005C6C3E" w:rsidP="005C6C3E">
      <w:pPr>
        <w:pStyle w:val="Doc-text2"/>
        <w:pBdr>
          <w:top w:val="single" w:sz="4" w:space="1" w:color="auto"/>
          <w:left w:val="single" w:sz="4" w:space="4" w:color="auto"/>
          <w:bottom w:val="single" w:sz="4" w:space="1" w:color="auto"/>
          <w:right w:val="single" w:sz="4" w:space="4" w:color="auto"/>
        </w:pBdr>
        <w:rPr>
          <w:b/>
        </w:rPr>
      </w:pPr>
      <w:r w:rsidRPr="00AD4BC6">
        <w:rPr>
          <w:b/>
        </w:rPr>
        <w:t>Agreeements:</w:t>
      </w:r>
    </w:p>
    <w:p w14:paraId="2E007703"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1</w:t>
      </w:r>
      <w:r>
        <w:tab/>
        <w:t xml:space="preserve">Behaviour on the BWP that is deactivated </w:t>
      </w:r>
    </w:p>
    <w:p w14:paraId="62E27F76"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       not transmit on UL-SCH on the BWP;</w:t>
      </w:r>
    </w:p>
    <w:p w14:paraId="2640B5C0"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       not monitor the PDCCH on the BWP;</w:t>
      </w:r>
    </w:p>
    <w:p w14:paraId="1B893F19"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       not transmit PUCCH on the BWP;</w:t>
      </w:r>
    </w:p>
    <w:p w14:paraId="7B466C55"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       not transmit on PRACH on the BWP;</w:t>
      </w:r>
    </w:p>
    <w:p w14:paraId="57B6F94E"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rsidRPr="005C6C3E">
        <w:rPr>
          <w:highlight w:val="yellow"/>
        </w:rPr>
        <w:t>-       do not flush HARQ buffers when doing BWP switching (unless an issue is identified)</w:t>
      </w:r>
    </w:p>
    <w:p w14:paraId="21870C11" w14:textId="77777777" w:rsidR="005C6C3E" w:rsidRDefault="005C6C3E" w:rsidP="005C6C3E">
      <w:pPr>
        <w:pStyle w:val="Doc-text2"/>
        <w:pBdr>
          <w:top w:val="single" w:sz="4" w:space="1" w:color="auto"/>
          <w:left w:val="single" w:sz="4" w:space="4" w:color="auto"/>
          <w:bottom w:val="single" w:sz="4" w:space="1" w:color="auto"/>
          <w:right w:val="single" w:sz="4" w:space="4" w:color="auto"/>
        </w:pBdr>
      </w:pPr>
      <w:r>
        <w:t>2</w:t>
      </w:r>
      <w:r>
        <w:tab/>
      </w:r>
      <w:r w:rsidRPr="00EB555D">
        <w:t>RAN2 will not support MAC CE BWP switching</w:t>
      </w:r>
    </w:p>
    <w:p w14:paraId="54E69CC6" w14:textId="24E8BD65" w:rsidR="005C6C3E" w:rsidRDefault="000D210D" w:rsidP="00124334">
      <w:pPr>
        <w:jc w:val="both"/>
        <w:rPr>
          <w:rFonts w:ascii="Arial" w:hAnsi="Arial" w:cs="Arial"/>
          <w:lang w:eastAsia="ko-KR"/>
        </w:rPr>
      </w:pPr>
      <w:r>
        <w:rPr>
          <w:rFonts w:ascii="Arial" w:hAnsi="Arial" w:cs="Arial"/>
          <w:lang w:eastAsia="ko-KR"/>
        </w:rPr>
        <w:t xml:space="preserve">We also have HARQ related agreements in RAN1 </w:t>
      </w:r>
      <w:r w:rsidR="00F12C3C">
        <w:rPr>
          <w:rFonts w:ascii="Arial" w:hAnsi="Arial" w:cs="Arial"/>
          <w:lang w:eastAsia="ko-KR"/>
        </w:rPr>
        <w:t>NR AH#2 meeting below:</w:t>
      </w:r>
    </w:p>
    <w:p w14:paraId="068E01E2" w14:textId="77777777" w:rsidR="009102E3" w:rsidRPr="00AD4BC6" w:rsidRDefault="009102E3" w:rsidP="009102E3">
      <w:pPr>
        <w:pStyle w:val="Doc-text2"/>
        <w:pBdr>
          <w:top w:val="single" w:sz="4" w:space="1" w:color="auto"/>
          <w:left w:val="single" w:sz="4" w:space="4" w:color="auto"/>
          <w:bottom w:val="single" w:sz="4" w:space="1" w:color="auto"/>
          <w:right w:val="single" w:sz="4" w:space="4" w:color="auto"/>
        </w:pBdr>
        <w:rPr>
          <w:b/>
        </w:rPr>
      </w:pPr>
      <w:r w:rsidRPr="00AD4BC6">
        <w:rPr>
          <w:b/>
        </w:rPr>
        <w:t>Agreeements:</w:t>
      </w:r>
    </w:p>
    <w:p w14:paraId="07F6F42B" w14:textId="77777777" w:rsidR="009102E3" w:rsidRDefault="009102E3" w:rsidP="009102E3">
      <w:pPr>
        <w:pStyle w:val="Doc-text2"/>
        <w:pBdr>
          <w:top w:val="single" w:sz="4" w:space="1" w:color="auto"/>
          <w:left w:val="single" w:sz="4" w:space="4" w:color="auto"/>
          <w:bottom w:val="single" w:sz="4" w:space="1" w:color="auto"/>
          <w:right w:val="single" w:sz="4" w:space="4" w:color="auto"/>
        </w:pBdr>
      </w:pPr>
      <w:r>
        <w:t>-</w:t>
      </w:r>
      <w:r>
        <w:tab/>
        <w:t>One TB is mapped to one DL/UL carrier.</w:t>
      </w:r>
    </w:p>
    <w:p w14:paraId="2801CA73" w14:textId="77777777" w:rsidR="009102E3" w:rsidRPr="000D210D" w:rsidRDefault="009102E3" w:rsidP="009102E3">
      <w:pPr>
        <w:pStyle w:val="Doc-text2"/>
        <w:pBdr>
          <w:top w:val="single" w:sz="4" w:space="1" w:color="auto"/>
          <w:left w:val="single" w:sz="4" w:space="4" w:color="auto"/>
          <w:bottom w:val="single" w:sz="4" w:space="1" w:color="auto"/>
          <w:right w:val="single" w:sz="4" w:space="4" w:color="auto"/>
        </w:pBdr>
        <w:rPr>
          <w:highlight w:val="yellow"/>
        </w:rPr>
      </w:pPr>
      <w:r w:rsidRPr="000D210D">
        <w:rPr>
          <w:highlight w:val="yellow"/>
        </w:rPr>
        <w:t>-</w:t>
      </w:r>
      <w:r w:rsidRPr="000D210D">
        <w:rPr>
          <w:highlight w:val="yellow"/>
        </w:rPr>
        <w:tab/>
        <w:t>Re-transmission of a TB cannot take place on different carrier than the initial transmission.</w:t>
      </w:r>
    </w:p>
    <w:p w14:paraId="67C0536D" w14:textId="77777777" w:rsidR="009102E3" w:rsidRPr="000D210D" w:rsidRDefault="009102E3" w:rsidP="009102E3">
      <w:pPr>
        <w:pStyle w:val="Doc-text2"/>
        <w:pBdr>
          <w:top w:val="single" w:sz="4" w:space="1" w:color="auto"/>
          <w:left w:val="single" w:sz="4" w:space="4" w:color="auto"/>
          <w:bottom w:val="single" w:sz="4" w:space="1" w:color="auto"/>
          <w:right w:val="single" w:sz="4" w:space="4" w:color="auto"/>
        </w:pBdr>
        <w:rPr>
          <w:highlight w:val="yellow"/>
        </w:rPr>
      </w:pPr>
      <w:r w:rsidRPr="000D210D">
        <w:rPr>
          <w:highlight w:val="yellow"/>
        </w:rPr>
        <w:t>-</w:t>
      </w:r>
      <w:r w:rsidRPr="000D210D">
        <w:rPr>
          <w:highlight w:val="yellow"/>
        </w:rPr>
        <w:tab/>
        <w:t>Working assumption:</w:t>
      </w:r>
    </w:p>
    <w:p w14:paraId="584D5889" w14:textId="77777777" w:rsidR="009102E3" w:rsidRDefault="009102E3" w:rsidP="009102E3">
      <w:pPr>
        <w:pStyle w:val="Doc-text2"/>
        <w:pBdr>
          <w:top w:val="single" w:sz="4" w:space="1" w:color="auto"/>
          <w:left w:val="single" w:sz="4" w:space="4" w:color="auto"/>
          <w:bottom w:val="single" w:sz="4" w:space="1" w:color="auto"/>
          <w:right w:val="single" w:sz="4" w:space="4" w:color="auto"/>
        </w:pBdr>
      </w:pPr>
      <w:r w:rsidRPr="000D210D">
        <w:rPr>
          <w:highlight w:val="yellow"/>
        </w:rPr>
        <w:t>o</w:t>
      </w:r>
      <w:r w:rsidRPr="000D210D">
        <w:rPr>
          <w:highlight w:val="yellow"/>
        </w:rPr>
        <w:tab/>
        <w:t>Re-transmission of a TB cannot take place on different numerology than the initial transmission in Rel. 15.</w:t>
      </w:r>
    </w:p>
    <w:p w14:paraId="658F7A48" w14:textId="2A4A54BD" w:rsidR="009102E3" w:rsidRDefault="009102E3" w:rsidP="009102E3">
      <w:pPr>
        <w:pStyle w:val="Doc-text2"/>
        <w:pBdr>
          <w:top w:val="single" w:sz="4" w:space="1" w:color="auto"/>
          <w:left w:val="single" w:sz="4" w:space="4" w:color="auto"/>
          <w:bottom w:val="single" w:sz="4" w:space="1" w:color="auto"/>
          <w:right w:val="single" w:sz="4" w:space="4" w:color="auto"/>
        </w:pBdr>
      </w:pPr>
      <w:r>
        <w:t>-</w:t>
      </w:r>
      <w:r>
        <w:tab/>
        <w:t xml:space="preserve"> When uplink CBG-based (re)transmission is configured, the UL grant indicates which CBG(s) of a TB is/are retransmitted</w:t>
      </w:r>
      <w:r w:rsidRPr="00EB555D">
        <w:t>g</w:t>
      </w:r>
    </w:p>
    <w:p w14:paraId="4B9C1C93" w14:textId="38716268" w:rsidR="00965E72" w:rsidRDefault="00176C26" w:rsidP="00124334">
      <w:pPr>
        <w:jc w:val="both"/>
        <w:rPr>
          <w:rFonts w:ascii="Arial" w:hAnsi="Arial" w:cs="Arial"/>
          <w:lang w:eastAsia="ko-KR"/>
        </w:rPr>
      </w:pPr>
      <w:r>
        <w:rPr>
          <w:rFonts w:ascii="Arial" w:hAnsi="Arial" w:cs="Arial" w:hint="eastAsia"/>
          <w:lang w:eastAsia="ko-KR"/>
        </w:rPr>
        <w:t xml:space="preserve">In </w:t>
      </w:r>
      <w:r w:rsidR="00124334">
        <w:rPr>
          <w:rFonts w:ascii="Arial" w:hAnsi="Arial" w:cs="Arial"/>
          <w:lang w:eastAsia="ko-KR"/>
        </w:rPr>
        <w:t>t</w:t>
      </w:r>
      <w:r w:rsidR="00965E72">
        <w:rPr>
          <w:rFonts w:ascii="Arial" w:hAnsi="Arial" w:cs="Arial"/>
          <w:lang w:eastAsia="ko-KR"/>
        </w:rPr>
        <w:t xml:space="preserve">his document, </w:t>
      </w:r>
      <w:r w:rsidR="00464715">
        <w:rPr>
          <w:rFonts w:ascii="Arial" w:hAnsi="Arial" w:cs="Arial"/>
          <w:lang w:eastAsia="ko-KR"/>
        </w:rPr>
        <w:t>we</w:t>
      </w:r>
      <w:r w:rsidR="00C1498B">
        <w:rPr>
          <w:rFonts w:ascii="Arial" w:hAnsi="Arial" w:cs="Arial"/>
          <w:lang w:eastAsia="ko-KR"/>
        </w:rPr>
        <w:t xml:space="preserve"> </w:t>
      </w:r>
      <w:r w:rsidR="00124334">
        <w:rPr>
          <w:rFonts w:ascii="Arial" w:hAnsi="Arial" w:cs="Arial"/>
          <w:lang w:eastAsia="ko-KR"/>
        </w:rPr>
        <w:t xml:space="preserve">provide our views </w:t>
      </w:r>
      <w:r w:rsidR="00F12C3C">
        <w:rPr>
          <w:rFonts w:ascii="Arial" w:hAnsi="Arial" w:cs="Arial"/>
          <w:lang w:eastAsia="ko-KR"/>
        </w:rPr>
        <w:t>about</w:t>
      </w:r>
      <w:r w:rsidR="00124334">
        <w:rPr>
          <w:rFonts w:ascii="Arial" w:hAnsi="Arial" w:cs="Arial"/>
          <w:lang w:eastAsia="ko-KR"/>
        </w:rPr>
        <w:t xml:space="preserve"> </w:t>
      </w:r>
      <w:r w:rsidR="00F12C3C">
        <w:rPr>
          <w:rFonts w:ascii="Arial" w:hAnsi="Arial" w:cs="Arial"/>
          <w:lang w:eastAsia="ko-KR"/>
        </w:rPr>
        <w:t>the impact on HARQ under BWP</w:t>
      </w:r>
      <w:r w:rsidR="00277A73">
        <w:rPr>
          <w:rFonts w:ascii="Arial" w:hAnsi="Arial" w:cs="Arial"/>
          <w:lang w:eastAsia="ko-KR"/>
        </w:rPr>
        <w:t>.</w:t>
      </w:r>
    </w:p>
    <w:p w14:paraId="55814923" w14:textId="0BFF33E3" w:rsidR="00C1498B" w:rsidRPr="002000A7" w:rsidRDefault="00C1498B" w:rsidP="00C1498B">
      <w:pPr>
        <w:pStyle w:val="Heading1"/>
        <w:rPr>
          <w:lang w:val="en-US" w:eastAsia="ko-KR"/>
        </w:rPr>
      </w:pPr>
      <w:r>
        <w:rPr>
          <w:lang w:val="en-US" w:eastAsia="ko-KR"/>
        </w:rPr>
        <w:t>2 Discussion</w:t>
      </w:r>
    </w:p>
    <w:p w14:paraId="3DC3AD26" w14:textId="0E6D4AFF" w:rsidR="00455862" w:rsidRDefault="00A12F7D" w:rsidP="00C1498B">
      <w:pPr>
        <w:jc w:val="both"/>
        <w:rPr>
          <w:rFonts w:ascii="Arial" w:hAnsi="Arial" w:cs="Arial"/>
          <w:lang w:val="en-US" w:eastAsia="ko-KR"/>
        </w:rPr>
      </w:pPr>
      <w:r>
        <w:rPr>
          <w:rFonts w:ascii="Arial" w:hAnsi="Arial" w:cs="Arial"/>
          <w:lang w:val="en-US" w:eastAsia="ko-KR"/>
        </w:rPr>
        <w:t>There are two trigger conditions for BWP switching, 1) DCI-based 2) timer-based. For DCI-based condition, BWP can change from smaller bandwidth to larger bandwidth,</w:t>
      </w:r>
      <w:r w:rsidR="00B46699">
        <w:rPr>
          <w:rFonts w:ascii="Arial" w:hAnsi="Arial" w:cs="Arial"/>
          <w:lang w:val="en-US" w:eastAsia="ko-KR"/>
        </w:rPr>
        <w:t xml:space="preserve"> </w:t>
      </w:r>
      <w:r>
        <w:rPr>
          <w:rFonts w:ascii="Arial" w:hAnsi="Arial" w:cs="Arial"/>
          <w:lang w:val="en-US" w:eastAsia="ko-KR"/>
        </w:rPr>
        <w:t>and also can change from larger bandwidth to smaller bandwidth</w:t>
      </w:r>
      <w:r w:rsidR="00214C6C">
        <w:rPr>
          <w:rFonts w:ascii="Arial" w:hAnsi="Arial" w:cs="Arial"/>
          <w:lang w:val="en-US" w:eastAsia="ko-KR"/>
        </w:rPr>
        <w:t xml:space="preserve">. </w:t>
      </w:r>
      <w:r>
        <w:rPr>
          <w:rFonts w:ascii="Arial" w:hAnsi="Arial" w:cs="Arial"/>
          <w:lang w:val="en-US" w:eastAsia="ko-KR"/>
        </w:rPr>
        <w:t>For timer-based condition, once timer expire</w:t>
      </w:r>
      <w:r w:rsidR="00214C6C">
        <w:rPr>
          <w:rFonts w:ascii="Arial" w:hAnsi="Arial" w:cs="Arial"/>
          <w:lang w:val="en-US" w:eastAsia="ko-KR"/>
        </w:rPr>
        <w:t>s,</w:t>
      </w:r>
      <w:r>
        <w:rPr>
          <w:rFonts w:ascii="Arial" w:hAnsi="Arial" w:cs="Arial"/>
          <w:lang w:val="en-US" w:eastAsia="ko-KR"/>
        </w:rPr>
        <w:t xml:space="preserve"> BWP can</w:t>
      </w:r>
      <w:r w:rsidR="00214C6C">
        <w:rPr>
          <w:rFonts w:ascii="Arial" w:hAnsi="Arial" w:cs="Arial"/>
          <w:lang w:val="en-US" w:eastAsia="ko-KR"/>
        </w:rPr>
        <w:t xml:space="preserve"> only</w:t>
      </w:r>
      <w:r>
        <w:rPr>
          <w:rFonts w:ascii="Arial" w:hAnsi="Arial" w:cs="Arial"/>
          <w:lang w:val="en-US" w:eastAsia="ko-KR"/>
        </w:rPr>
        <w:t xml:space="preserve"> fall back from larger</w:t>
      </w:r>
      <w:r w:rsidR="00214C6C">
        <w:rPr>
          <w:rFonts w:ascii="Arial" w:hAnsi="Arial" w:cs="Arial"/>
          <w:lang w:val="en-US" w:eastAsia="ko-KR"/>
        </w:rPr>
        <w:t xml:space="preserve"> bandwidth to smaller bandwidth.</w:t>
      </w:r>
    </w:p>
    <w:p w14:paraId="34EBEFA0" w14:textId="70BBA5F8" w:rsidR="006A1246" w:rsidRDefault="006A1246" w:rsidP="00C1498B">
      <w:pPr>
        <w:jc w:val="both"/>
        <w:rPr>
          <w:rFonts w:ascii="Arial" w:hAnsi="Arial" w:cs="Arial"/>
          <w:lang w:val="en-US" w:eastAsia="ko-KR"/>
        </w:rPr>
      </w:pPr>
      <w:r>
        <w:rPr>
          <w:rFonts w:ascii="Arial" w:hAnsi="Arial" w:cs="Arial"/>
          <w:lang w:val="en-US" w:eastAsia="ko-KR"/>
        </w:rPr>
        <w:t>We list the three possible cases for BWP switching in Table 1 and discuss them separately:</w:t>
      </w:r>
    </w:p>
    <w:tbl>
      <w:tblPr>
        <w:tblStyle w:val="TableGrid"/>
        <w:tblW w:w="0" w:type="auto"/>
        <w:jc w:val="center"/>
        <w:tblLook w:val="04A0" w:firstRow="1" w:lastRow="0" w:firstColumn="1" w:lastColumn="0" w:noHBand="0" w:noVBand="1"/>
      </w:tblPr>
      <w:tblGrid>
        <w:gridCol w:w="2723"/>
        <w:gridCol w:w="1317"/>
        <w:gridCol w:w="1517"/>
      </w:tblGrid>
      <w:tr w:rsidR="00A12F7D" w14:paraId="4F23879F" w14:textId="77777777" w:rsidTr="00A12F7D">
        <w:trPr>
          <w:jc w:val="center"/>
        </w:trPr>
        <w:tc>
          <w:tcPr>
            <w:tcW w:w="2723" w:type="dxa"/>
          </w:tcPr>
          <w:p w14:paraId="3B766263" w14:textId="77777777" w:rsidR="00A12F7D" w:rsidRDefault="00A12F7D" w:rsidP="00B50539">
            <w:pPr>
              <w:pStyle w:val="TH"/>
            </w:pPr>
          </w:p>
        </w:tc>
        <w:tc>
          <w:tcPr>
            <w:tcW w:w="1317" w:type="dxa"/>
          </w:tcPr>
          <w:p w14:paraId="47A95365" w14:textId="0A639DAC" w:rsidR="00A12F7D" w:rsidRDefault="00A12F7D" w:rsidP="00B50539">
            <w:pPr>
              <w:pStyle w:val="TH"/>
            </w:pPr>
            <w:r>
              <w:t>DCI-based</w:t>
            </w:r>
          </w:p>
        </w:tc>
        <w:tc>
          <w:tcPr>
            <w:tcW w:w="1517" w:type="dxa"/>
          </w:tcPr>
          <w:p w14:paraId="45F124F4" w14:textId="2AA480B7" w:rsidR="00A12F7D" w:rsidRDefault="00A12F7D" w:rsidP="00B50539">
            <w:pPr>
              <w:pStyle w:val="TH"/>
            </w:pPr>
            <w:r>
              <w:t>Timer-based</w:t>
            </w:r>
          </w:p>
        </w:tc>
      </w:tr>
      <w:tr w:rsidR="00A12F7D" w14:paraId="41B8B149" w14:textId="77777777" w:rsidTr="00A12F7D">
        <w:trPr>
          <w:jc w:val="center"/>
        </w:trPr>
        <w:tc>
          <w:tcPr>
            <w:tcW w:w="2723" w:type="dxa"/>
          </w:tcPr>
          <w:p w14:paraId="2116B694" w14:textId="250E038E" w:rsidR="00A12F7D" w:rsidRDefault="00A12F7D" w:rsidP="00B50539">
            <w:pPr>
              <w:pStyle w:val="TH"/>
            </w:pPr>
            <w:r>
              <w:t>Smaller BW -&gt; larger BW</w:t>
            </w:r>
          </w:p>
        </w:tc>
        <w:tc>
          <w:tcPr>
            <w:tcW w:w="1317" w:type="dxa"/>
          </w:tcPr>
          <w:p w14:paraId="7F67211B" w14:textId="48075BF8" w:rsidR="00A12F7D" w:rsidRDefault="00A12F7D" w:rsidP="00B50539">
            <w:pPr>
              <w:pStyle w:val="TH"/>
            </w:pPr>
            <w:r>
              <w:t>Case 1</w:t>
            </w:r>
          </w:p>
        </w:tc>
        <w:tc>
          <w:tcPr>
            <w:tcW w:w="1517" w:type="dxa"/>
          </w:tcPr>
          <w:p w14:paraId="326E04BE" w14:textId="502FA74D" w:rsidR="00A12F7D" w:rsidRDefault="00A12F7D" w:rsidP="00A12F7D">
            <w:pPr>
              <w:pStyle w:val="TH"/>
            </w:pPr>
            <w:r>
              <w:t>N/A</w:t>
            </w:r>
          </w:p>
        </w:tc>
      </w:tr>
      <w:tr w:rsidR="00A12F7D" w14:paraId="2D5F49DB" w14:textId="77777777" w:rsidTr="00A12F7D">
        <w:trPr>
          <w:jc w:val="center"/>
        </w:trPr>
        <w:tc>
          <w:tcPr>
            <w:tcW w:w="2723" w:type="dxa"/>
          </w:tcPr>
          <w:p w14:paraId="65760333" w14:textId="25AB2DA3" w:rsidR="00A12F7D" w:rsidRDefault="00A12F7D" w:rsidP="00B50539">
            <w:pPr>
              <w:pStyle w:val="TH"/>
            </w:pPr>
            <w:r>
              <w:t>Larger BW -&gt; smaller BW</w:t>
            </w:r>
          </w:p>
        </w:tc>
        <w:tc>
          <w:tcPr>
            <w:tcW w:w="1317" w:type="dxa"/>
          </w:tcPr>
          <w:p w14:paraId="7B65B8E1" w14:textId="4844DDB2" w:rsidR="00A12F7D" w:rsidRDefault="00A12F7D" w:rsidP="00B50539">
            <w:pPr>
              <w:pStyle w:val="TH"/>
            </w:pPr>
            <w:r>
              <w:t>Case 2</w:t>
            </w:r>
          </w:p>
        </w:tc>
        <w:tc>
          <w:tcPr>
            <w:tcW w:w="1517" w:type="dxa"/>
          </w:tcPr>
          <w:p w14:paraId="08728B86" w14:textId="4D863DB6" w:rsidR="00A12F7D" w:rsidRDefault="00A12F7D" w:rsidP="00B50539">
            <w:pPr>
              <w:pStyle w:val="TH"/>
            </w:pPr>
            <w:r>
              <w:t>Case 3</w:t>
            </w:r>
          </w:p>
        </w:tc>
      </w:tr>
    </w:tbl>
    <w:p w14:paraId="1E43D10D" w14:textId="4900731A" w:rsidR="00B50539" w:rsidRDefault="00A12F7D" w:rsidP="00B50539">
      <w:pPr>
        <w:pStyle w:val="TF"/>
        <w:rPr>
          <w:lang w:eastAsia="ja-JP"/>
        </w:rPr>
      </w:pPr>
      <w:r>
        <w:t>Table</w:t>
      </w:r>
      <w:r w:rsidR="00B50539" w:rsidRPr="00461AED">
        <w:t xml:space="preserve"> </w:t>
      </w:r>
      <w:r w:rsidR="00B50539" w:rsidRPr="00461AED">
        <w:rPr>
          <w:rFonts w:eastAsia="MS Mincho"/>
          <w:lang w:eastAsia="ja-JP"/>
        </w:rPr>
        <w:t>1</w:t>
      </w:r>
      <w:r w:rsidR="00B50539" w:rsidRPr="00461AED">
        <w:t xml:space="preserve">: </w:t>
      </w:r>
      <w:r w:rsidR="00214C6C">
        <w:t>Possible cases</w:t>
      </w:r>
      <w:r>
        <w:t xml:space="preserve"> for BWP s</w:t>
      </w:r>
      <w:r w:rsidR="00214C6C">
        <w:t>w</w:t>
      </w:r>
      <w:r>
        <w:t>itching</w:t>
      </w:r>
    </w:p>
    <w:p w14:paraId="415A6591" w14:textId="21238C1A" w:rsidR="006A1246" w:rsidRDefault="006A1246" w:rsidP="00214C6C">
      <w:pPr>
        <w:pStyle w:val="TH"/>
        <w:jc w:val="left"/>
        <w:rPr>
          <w:rFonts w:cs="Arial"/>
          <w:lang w:val="en-US" w:eastAsia="ko-KR"/>
        </w:rPr>
      </w:pPr>
      <w:r>
        <w:rPr>
          <w:rFonts w:cs="Arial"/>
          <w:lang w:val="en-US" w:eastAsia="ko-KR"/>
        </w:rPr>
        <w:t>1) Case 1: Smaller BW to larger BW by DCI-based</w:t>
      </w:r>
    </w:p>
    <w:p w14:paraId="2EDBB048" w14:textId="474FF409" w:rsidR="006A1246" w:rsidRDefault="00936C8B" w:rsidP="00936C8B">
      <w:pPr>
        <w:jc w:val="both"/>
        <w:rPr>
          <w:rFonts w:cs="Arial"/>
          <w:lang w:val="en-US" w:eastAsia="ko-KR"/>
        </w:rPr>
      </w:pPr>
      <w:r>
        <w:rPr>
          <w:rFonts w:ascii="Arial" w:hAnsi="Arial" w:cs="Arial"/>
          <w:lang w:val="en-US" w:eastAsia="ko-KR"/>
        </w:rPr>
        <w:t>In this case, the TBS in smaller BW definitely can be accommodated in the larger BW and also there is no issues on HARQ soft</w:t>
      </w:r>
      <w:r w:rsidR="00AB4F35">
        <w:rPr>
          <w:rFonts w:ascii="Arial" w:hAnsi="Arial" w:cs="Arial"/>
          <w:lang w:val="en-US" w:eastAsia="ko-KR"/>
        </w:rPr>
        <w:t xml:space="preserve"> combining and </w:t>
      </w:r>
      <w:r>
        <w:rPr>
          <w:rFonts w:ascii="Arial" w:hAnsi="Arial" w:cs="Arial"/>
          <w:lang w:val="en-US" w:eastAsia="ko-KR"/>
        </w:rPr>
        <w:t>buffer size. The HARQ process and related counter</w:t>
      </w:r>
      <w:r w:rsidR="00AB4F35">
        <w:rPr>
          <w:rFonts w:ascii="Arial" w:hAnsi="Arial" w:cs="Arial"/>
          <w:lang w:val="en-US" w:eastAsia="ko-KR"/>
        </w:rPr>
        <w:t>s and timers</w:t>
      </w:r>
      <w:r>
        <w:rPr>
          <w:rFonts w:ascii="Arial" w:hAnsi="Arial" w:cs="Arial"/>
          <w:lang w:val="en-US" w:eastAsia="ko-KR"/>
        </w:rPr>
        <w:t xml:space="preserve"> can continue without problem</w:t>
      </w:r>
      <w:r w:rsidR="00AB4F35">
        <w:rPr>
          <w:rFonts w:ascii="Arial" w:hAnsi="Arial" w:cs="Arial"/>
          <w:lang w:val="en-US" w:eastAsia="ko-KR"/>
        </w:rPr>
        <w:t>s</w:t>
      </w:r>
      <w:r>
        <w:rPr>
          <w:rFonts w:ascii="Arial" w:hAnsi="Arial" w:cs="Arial"/>
          <w:lang w:val="en-US" w:eastAsia="ko-KR"/>
        </w:rPr>
        <w:t>.</w:t>
      </w:r>
    </w:p>
    <w:p w14:paraId="11E2BEEE" w14:textId="762F89D4" w:rsidR="00214C6C" w:rsidRDefault="006A1246" w:rsidP="00214C6C">
      <w:pPr>
        <w:pStyle w:val="TH"/>
        <w:jc w:val="left"/>
        <w:rPr>
          <w:lang w:val="en-US"/>
        </w:rPr>
      </w:pPr>
      <w:r>
        <w:rPr>
          <w:rFonts w:cs="Arial"/>
          <w:lang w:val="en-US" w:eastAsia="ko-KR"/>
        </w:rPr>
        <w:t>2) Case 2: Larger BW to smaller BW by DCI-based</w:t>
      </w:r>
    </w:p>
    <w:p w14:paraId="5B164957" w14:textId="5C8FFC28" w:rsidR="00417EEC" w:rsidRDefault="00936C8B" w:rsidP="00936C8B">
      <w:pPr>
        <w:jc w:val="both"/>
        <w:rPr>
          <w:rFonts w:ascii="Arial" w:hAnsi="Arial" w:cs="Arial"/>
          <w:lang w:val="en-US" w:eastAsia="ko-KR"/>
        </w:rPr>
      </w:pPr>
      <w:r>
        <w:rPr>
          <w:rFonts w:ascii="Arial" w:hAnsi="Arial" w:cs="Arial"/>
          <w:lang w:val="en-US" w:eastAsia="ko-KR"/>
        </w:rPr>
        <w:t>In this case, one conce</w:t>
      </w:r>
      <w:r w:rsidR="00750E66">
        <w:rPr>
          <w:rFonts w:ascii="Arial" w:hAnsi="Arial" w:cs="Arial"/>
          <w:lang w:val="en-US" w:eastAsia="ko-KR"/>
        </w:rPr>
        <w:t>r</w:t>
      </w:r>
      <w:r>
        <w:rPr>
          <w:rFonts w:ascii="Arial" w:hAnsi="Arial" w:cs="Arial"/>
          <w:lang w:val="en-US" w:eastAsia="ko-KR"/>
        </w:rPr>
        <w:t>n is that the TBS in larger BW can</w:t>
      </w:r>
      <w:r w:rsidR="00417EEC">
        <w:rPr>
          <w:rFonts w:ascii="Arial" w:hAnsi="Arial" w:cs="Arial"/>
          <w:lang w:val="en-US" w:eastAsia="ko-KR"/>
        </w:rPr>
        <w:t xml:space="preserve"> not</w:t>
      </w:r>
      <w:r>
        <w:rPr>
          <w:rFonts w:ascii="Arial" w:hAnsi="Arial" w:cs="Arial"/>
          <w:lang w:val="en-US" w:eastAsia="ko-KR"/>
        </w:rPr>
        <w:t xml:space="preserve"> be accommodated in </w:t>
      </w:r>
      <w:r w:rsidR="00417EEC">
        <w:rPr>
          <w:rFonts w:ascii="Arial" w:hAnsi="Arial" w:cs="Arial"/>
          <w:lang w:val="en-US" w:eastAsia="ko-KR"/>
        </w:rPr>
        <w:t>smaller</w:t>
      </w:r>
      <w:r>
        <w:rPr>
          <w:rFonts w:ascii="Arial" w:hAnsi="Arial" w:cs="Arial"/>
          <w:lang w:val="en-US" w:eastAsia="ko-KR"/>
        </w:rPr>
        <w:t xml:space="preserve"> BW</w:t>
      </w:r>
      <w:r w:rsidR="00417EEC">
        <w:rPr>
          <w:rFonts w:ascii="Arial" w:hAnsi="Arial" w:cs="Arial"/>
          <w:lang w:val="en-US" w:eastAsia="ko-KR"/>
        </w:rPr>
        <w:t xml:space="preserve">. However, once the gNB knows that the UE has correctly received the initial transmission, gNB dose not have to re-signal TBS. </w:t>
      </w:r>
      <w:r w:rsidR="00417EEC" w:rsidRPr="00417EEC">
        <w:rPr>
          <w:rFonts w:ascii="Arial" w:hAnsi="Arial" w:cs="Arial"/>
          <w:lang w:val="en-US" w:eastAsia="ko-KR"/>
        </w:rPr>
        <w:t>Similar behavior like LTE by using MCS index 29-31 to indicate modulation order</w:t>
      </w:r>
      <w:r w:rsidR="00444222">
        <w:rPr>
          <w:rFonts w:ascii="Arial" w:hAnsi="Arial" w:cs="Arial"/>
          <w:lang w:val="en-US" w:eastAsia="ko-KR"/>
        </w:rPr>
        <w:t xml:space="preserve"> is enough and</w:t>
      </w:r>
      <w:r w:rsidR="00417EEC" w:rsidRPr="00417EEC">
        <w:rPr>
          <w:rFonts w:ascii="Arial" w:hAnsi="Arial" w:cs="Arial"/>
          <w:lang w:val="en-US" w:eastAsia="ko-KR"/>
        </w:rPr>
        <w:t xml:space="preserve"> can be reused</w:t>
      </w:r>
      <w:r w:rsidR="00417EEC">
        <w:rPr>
          <w:rFonts w:ascii="Arial" w:hAnsi="Arial" w:cs="Arial"/>
          <w:lang w:val="en-US" w:eastAsia="ko-KR"/>
        </w:rPr>
        <w:t>.</w:t>
      </w:r>
    </w:p>
    <w:p w14:paraId="67E2A5B3" w14:textId="62FB98CE" w:rsidR="00417EEC" w:rsidRDefault="00417EEC" w:rsidP="00417EEC">
      <w:pPr>
        <w:jc w:val="both"/>
        <w:rPr>
          <w:rFonts w:ascii="Arial" w:hAnsi="Arial" w:cs="Arial"/>
          <w:lang w:val="en-US" w:eastAsia="ko-KR"/>
        </w:rPr>
      </w:pPr>
      <w:r>
        <w:rPr>
          <w:rFonts w:ascii="Arial" w:hAnsi="Arial" w:cs="Arial"/>
          <w:lang w:val="en-US" w:eastAsia="ko-KR"/>
        </w:rPr>
        <w:t xml:space="preserve">Only if gNB </w:t>
      </w:r>
      <w:r w:rsidRPr="00417EEC">
        <w:rPr>
          <w:rFonts w:ascii="Arial" w:hAnsi="Arial" w:cs="Arial"/>
          <w:lang w:val="en-US" w:eastAsia="ko-KR"/>
        </w:rPr>
        <w:t xml:space="preserve">want to re-signal the TBS, and the resource allocation or the </w:t>
      </w:r>
      <w:r>
        <w:rPr>
          <w:rFonts w:ascii="Arial" w:hAnsi="Arial" w:cs="Arial"/>
          <w:lang w:val="en-US" w:eastAsia="ko-KR"/>
        </w:rPr>
        <w:t>DMRS configuration have changed, t</w:t>
      </w:r>
      <w:r w:rsidRPr="00417EEC">
        <w:rPr>
          <w:rFonts w:ascii="Arial" w:hAnsi="Arial" w:cs="Arial"/>
          <w:lang w:val="en-US" w:eastAsia="ko-KR"/>
        </w:rPr>
        <w:t>he UE may not be able the reproduce the same TBS</w:t>
      </w:r>
      <w:r>
        <w:rPr>
          <w:rFonts w:ascii="Arial" w:hAnsi="Arial" w:cs="Arial"/>
          <w:lang w:val="en-US" w:eastAsia="ko-KR"/>
        </w:rPr>
        <w:t xml:space="preserve"> by u</w:t>
      </w:r>
      <w:r w:rsidRPr="00417EEC">
        <w:rPr>
          <w:rFonts w:ascii="Arial" w:hAnsi="Arial" w:cs="Arial"/>
          <w:lang w:val="en-US" w:eastAsia="ko-KR"/>
        </w:rPr>
        <w:t>sing the formula approach as currently agreed in RAN1.</w:t>
      </w:r>
      <w:r w:rsidR="00CE0C90">
        <w:rPr>
          <w:rFonts w:ascii="Arial" w:hAnsi="Arial" w:cs="Arial"/>
          <w:lang w:val="en-US" w:eastAsia="ko-KR"/>
        </w:rPr>
        <w:t xml:space="preserve"> The</w:t>
      </w:r>
      <w:r>
        <w:rPr>
          <w:rFonts w:ascii="Arial" w:hAnsi="Arial" w:cs="Arial"/>
          <w:lang w:val="en-US" w:eastAsia="ko-KR"/>
        </w:rPr>
        <w:t xml:space="preserve"> gNB should </w:t>
      </w:r>
      <w:r w:rsidR="00CE0C90">
        <w:rPr>
          <w:rFonts w:ascii="Arial" w:hAnsi="Arial" w:cs="Arial"/>
          <w:lang w:val="en-US" w:eastAsia="ko-KR"/>
        </w:rPr>
        <w:t xml:space="preserve">avoid this case either by scheduling or by carrying toggled NDI in DCI to flush the </w:t>
      </w:r>
      <w:r w:rsidR="00074B1C">
        <w:rPr>
          <w:rFonts w:ascii="Arial" w:hAnsi="Arial" w:cs="Arial"/>
          <w:lang w:val="en-US" w:eastAsia="ko-KR"/>
        </w:rPr>
        <w:t xml:space="preserve">HARQ </w:t>
      </w:r>
      <w:r w:rsidR="00CE0C90">
        <w:rPr>
          <w:rFonts w:ascii="Arial" w:hAnsi="Arial" w:cs="Arial"/>
          <w:lang w:val="en-US" w:eastAsia="ko-KR"/>
        </w:rPr>
        <w:t xml:space="preserve">soft buffer. If toggled </w:t>
      </w:r>
      <w:r w:rsidR="00CE0C90">
        <w:rPr>
          <w:rFonts w:ascii="Arial" w:hAnsi="Arial" w:cs="Arial"/>
          <w:lang w:val="en-US" w:eastAsia="ko-KR"/>
        </w:rPr>
        <w:lastRenderedPageBreak/>
        <w:t>NDI is not detected, UE’s HARQ process can continues and its coding chain rate matching for HARQ retransmission just follow the first transmission.</w:t>
      </w:r>
      <w:r w:rsidR="00750E66">
        <w:rPr>
          <w:rFonts w:ascii="Arial" w:hAnsi="Arial" w:cs="Arial"/>
          <w:lang w:val="en-US" w:eastAsia="ko-KR"/>
        </w:rPr>
        <w:t xml:space="preserve"> Related</w:t>
      </w:r>
      <w:r w:rsidR="002A1D23">
        <w:rPr>
          <w:rFonts w:ascii="Arial" w:hAnsi="Arial" w:cs="Arial"/>
          <w:lang w:val="en-US" w:eastAsia="ko-KR"/>
        </w:rPr>
        <w:t xml:space="preserve"> HARQ</w:t>
      </w:r>
      <w:r w:rsidR="00750E66">
        <w:rPr>
          <w:rFonts w:ascii="Arial" w:hAnsi="Arial" w:cs="Arial"/>
          <w:lang w:val="en-US" w:eastAsia="ko-KR"/>
        </w:rPr>
        <w:t xml:space="preserve"> counter</w:t>
      </w:r>
      <w:r w:rsidR="002A1D23">
        <w:rPr>
          <w:rFonts w:ascii="Arial" w:hAnsi="Arial" w:cs="Arial"/>
          <w:lang w:val="en-US" w:eastAsia="ko-KR"/>
        </w:rPr>
        <w:t>s</w:t>
      </w:r>
      <w:r w:rsidR="00074B1C">
        <w:rPr>
          <w:rFonts w:ascii="Arial" w:hAnsi="Arial" w:cs="Arial"/>
          <w:lang w:val="en-US" w:eastAsia="ko-KR"/>
        </w:rPr>
        <w:t xml:space="preserve"> and timers</w:t>
      </w:r>
      <w:r w:rsidR="00750E66">
        <w:rPr>
          <w:rFonts w:ascii="Arial" w:hAnsi="Arial" w:cs="Arial"/>
          <w:lang w:val="en-US" w:eastAsia="ko-KR"/>
        </w:rPr>
        <w:t xml:space="preserve"> </w:t>
      </w:r>
      <w:r w:rsidR="00074B1C">
        <w:rPr>
          <w:rFonts w:ascii="Arial" w:hAnsi="Arial" w:cs="Arial"/>
          <w:lang w:val="en-US" w:eastAsia="ko-KR"/>
        </w:rPr>
        <w:t xml:space="preserve">can </w:t>
      </w:r>
      <w:r w:rsidR="00750E66">
        <w:rPr>
          <w:rFonts w:ascii="Arial" w:hAnsi="Arial" w:cs="Arial"/>
          <w:lang w:val="en-US" w:eastAsia="ko-KR"/>
        </w:rPr>
        <w:t>continue as well.</w:t>
      </w:r>
    </w:p>
    <w:p w14:paraId="74BEE839" w14:textId="26469598" w:rsidR="00DC770B" w:rsidRPr="000C685E" w:rsidRDefault="00DC770B" w:rsidP="00DC770B">
      <w:pPr>
        <w:rPr>
          <w:rFonts w:ascii="Arial" w:hAnsi="Arial" w:cs="Arial"/>
          <w:b/>
          <w:lang w:eastAsia="ja-JP"/>
        </w:rPr>
      </w:pPr>
      <w:r w:rsidRPr="000C685E">
        <w:rPr>
          <w:rFonts w:ascii="Arial" w:hAnsi="Arial" w:cs="Arial"/>
          <w:b/>
          <w:lang w:eastAsia="ja-JP"/>
        </w:rPr>
        <w:t xml:space="preserve">Proposal 1: </w:t>
      </w:r>
      <w:r w:rsidR="008C744D" w:rsidRPr="008C744D">
        <w:rPr>
          <w:rFonts w:ascii="Arial" w:hAnsi="Arial" w:cs="Arial"/>
          <w:b/>
          <w:lang w:eastAsia="ja-JP"/>
        </w:rPr>
        <w:t>When gNB switches BWP</w:t>
      </w:r>
      <w:r w:rsidR="00A1056A">
        <w:rPr>
          <w:rFonts w:ascii="Arial" w:hAnsi="Arial" w:cs="Arial"/>
          <w:b/>
          <w:lang w:eastAsia="ja-JP"/>
        </w:rPr>
        <w:t xml:space="preserve"> to diff</w:t>
      </w:r>
      <w:r w:rsidR="00052090">
        <w:rPr>
          <w:rFonts w:ascii="Arial" w:hAnsi="Arial" w:cs="Arial"/>
          <w:b/>
          <w:lang w:eastAsia="ja-JP"/>
        </w:rPr>
        <w:t>e</w:t>
      </w:r>
      <w:r w:rsidR="00A1056A">
        <w:rPr>
          <w:rFonts w:ascii="Arial" w:hAnsi="Arial" w:cs="Arial"/>
          <w:b/>
          <w:lang w:eastAsia="ja-JP"/>
        </w:rPr>
        <w:t>rent numer</w:t>
      </w:r>
      <w:r w:rsidR="00052090">
        <w:rPr>
          <w:rFonts w:ascii="Arial" w:hAnsi="Arial" w:cs="Arial"/>
          <w:b/>
          <w:lang w:eastAsia="ja-JP"/>
        </w:rPr>
        <w:t>o</w:t>
      </w:r>
      <w:r w:rsidR="00A1056A">
        <w:rPr>
          <w:rFonts w:ascii="Arial" w:hAnsi="Arial" w:cs="Arial"/>
          <w:b/>
          <w:lang w:eastAsia="ja-JP"/>
        </w:rPr>
        <w:t>logy</w:t>
      </w:r>
      <w:r w:rsidR="008C744D">
        <w:rPr>
          <w:rFonts w:ascii="Arial" w:hAnsi="Arial" w:cs="Arial"/>
          <w:b/>
          <w:lang w:eastAsia="ja-JP"/>
        </w:rPr>
        <w:t xml:space="preserve">, </w:t>
      </w:r>
      <w:r w:rsidR="00A1056A">
        <w:rPr>
          <w:rFonts w:ascii="Arial" w:hAnsi="Arial" w:cs="Arial"/>
          <w:b/>
          <w:lang w:eastAsia="ja-JP"/>
        </w:rPr>
        <w:t xml:space="preserve">it is up to </w:t>
      </w:r>
      <w:r w:rsidR="008C744D">
        <w:rPr>
          <w:rFonts w:ascii="Arial" w:hAnsi="Arial" w:cs="Arial"/>
          <w:b/>
          <w:lang w:eastAsia="ja-JP"/>
        </w:rPr>
        <w:t xml:space="preserve">gNB </w:t>
      </w:r>
      <w:r w:rsidR="00A1056A">
        <w:rPr>
          <w:rFonts w:ascii="Arial" w:hAnsi="Arial" w:cs="Arial"/>
          <w:b/>
          <w:lang w:eastAsia="ja-JP"/>
        </w:rPr>
        <w:t>ensure that retransmiss</w:t>
      </w:r>
      <w:r w:rsidR="00052090">
        <w:rPr>
          <w:rFonts w:ascii="Arial" w:hAnsi="Arial" w:cs="Arial"/>
          <w:b/>
          <w:lang w:eastAsia="ja-JP"/>
        </w:rPr>
        <w:t>i</w:t>
      </w:r>
      <w:r w:rsidR="00A1056A">
        <w:rPr>
          <w:rFonts w:ascii="Arial" w:hAnsi="Arial" w:cs="Arial"/>
          <w:b/>
          <w:lang w:eastAsia="ja-JP"/>
        </w:rPr>
        <w:t>on do not occur.</w:t>
      </w:r>
    </w:p>
    <w:p w14:paraId="1877BC11" w14:textId="2E5A7831" w:rsidR="006A1246" w:rsidRDefault="006A1246" w:rsidP="006A1246">
      <w:pPr>
        <w:pStyle w:val="TH"/>
        <w:jc w:val="left"/>
        <w:rPr>
          <w:lang w:val="en-US"/>
        </w:rPr>
      </w:pPr>
      <w:r>
        <w:rPr>
          <w:rFonts w:cs="Arial"/>
          <w:lang w:val="en-US" w:eastAsia="ko-KR"/>
        </w:rPr>
        <w:t>3) Case 3: Larger BW to smaller BW by expiry of timer</w:t>
      </w:r>
    </w:p>
    <w:p w14:paraId="2916AF2C" w14:textId="777FB487" w:rsidR="00212493" w:rsidRDefault="00212493" w:rsidP="00212493">
      <w:pPr>
        <w:jc w:val="both"/>
        <w:rPr>
          <w:rFonts w:ascii="Arial" w:hAnsi="Arial" w:cs="Arial"/>
          <w:lang w:val="en-US" w:eastAsia="ko-KR"/>
        </w:rPr>
      </w:pPr>
      <w:r>
        <w:rPr>
          <w:rFonts w:ascii="Arial" w:hAnsi="Arial" w:cs="Arial"/>
          <w:lang w:val="en-US" w:eastAsia="ko-KR"/>
        </w:rPr>
        <w:t xml:space="preserve">In this case, before the expiry of the timer, all the HARQ retransmission procedure should </w:t>
      </w:r>
      <w:r w:rsidR="00687CEB">
        <w:rPr>
          <w:rFonts w:ascii="Arial" w:hAnsi="Arial" w:cs="Arial"/>
          <w:lang w:val="en-US" w:eastAsia="ko-KR"/>
        </w:rPr>
        <w:t xml:space="preserve">have been </w:t>
      </w:r>
      <w:r>
        <w:rPr>
          <w:rFonts w:ascii="Arial" w:hAnsi="Arial" w:cs="Arial"/>
          <w:lang w:val="en-US" w:eastAsia="ko-KR"/>
        </w:rPr>
        <w:t>completed</w:t>
      </w:r>
      <w:r w:rsidR="00E7201B">
        <w:rPr>
          <w:rFonts w:ascii="Arial" w:hAnsi="Arial" w:cs="Arial"/>
          <w:lang w:val="en-US" w:eastAsia="ko-KR"/>
        </w:rPr>
        <w:t xml:space="preserve">. </w:t>
      </w:r>
      <w:r w:rsidR="00687CEB">
        <w:rPr>
          <w:rFonts w:ascii="Arial" w:hAnsi="Arial" w:cs="Arial"/>
          <w:lang w:val="en-US" w:eastAsia="ko-KR"/>
        </w:rPr>
        <w:t>Thus, t</w:t>
      </w:r>
      <w:r w:rsidR="00E7201B" w:rsidRPr="00E7201B">
        <w:rPr>
          <w:rFonts w:ascii="Arial" w:hAnsi="Arial" w:cs="Arial"/>
          <w:lang w:val="en-US" w:eastAsia="ko-KR"/>
        </w:rPr>
        <w:t>here is no issues on HARQ soft</w:t>
      </w:r>
      <w:r w:rsidR="00687CEB">
        <w:rPr>
          <w:rFonts w:ascii="Arial" w:hAnsi="Arial" w:cs="Arial"/>
          <w:lang w:val="en-US" w:eastAsia="ko-KR"/>
        </w:rPr>
        <w:t xml:space="preserve"> combining and</w:t>
      </w:r>
      <w:r w:rsidR="00E7201B" w:rsidRPr="00E7201B">
        <w:rPr>
          <w:rFonts w:ascii="Arial" w:hAnsi="Arial" w:cs="Arial"/>
          <w:lang w:val="en-US" w:eastAsia="ko-KR"/>
        </w:rPr>
        <w:t xml:space="preserve"> buffer size. The HARQ process</w:t>
      </w:r>
      <w:r w:rsidR="00687CEB">
        <w:rPr>
          <w:rFonts w:ascii="Arial" w:hAnsi="Arial" w:cs="Arial"/>
          <w:lang w:val="en-US" w:eastAsia="ko-KR"/>
        </w:rPr>
        <w:t xml:space="preserve">, </w:t>
      </w:r>
      <w:r w:rsidR="00E7201B" w:rsidRPr="00E7201B">
        <w:rPr>
          <w:rFonts w:ascii="Arial" w:hAnsi="Arial" w:cs="Arial"/>
          <w:lang w:val="en-US" w:eastAsia="ko-KR"/>
        </w:rPr>
        <w:t>related counter</w:t>
      </w:r>
      <w:r w:rsidR="00687CEB">
        <w:rPr>
          <w:rFonts w:ascii="Arial" w:hAnsi="Arial" w:cs="Arial"/>
          <w:lang w:val="en-US" w:eastAsia="ko-KR"/>
        </w:rPr>
        <w:t>s and timers</w:t>
      </w:r>
      <w:r w:rsidR="00E7201B" w:rsidRPr="00E7201B">
        <w:rPr>
          <w:rFonts w:ascii="Arial" w:hAnsi="Arial" w:cs="Arial"/>
          <w:lang w:val="en-US" w:eastAsia="ko-KR"/>
        </w:rPr>
        <w:t xml:space="preserve"> can continue without problem</w:t>
      </w:r>
      <w:r w:rsidR="00687CEB">
        <w:rPr>
          <w:rFonts w:ascii="Arial" w:hAnsi="Arial" w:cs="Arial"/>
          <w:lang w:val="en-US" w:eastAsia="ko-KR"/>
        </w:rPr>
        <w:t>s</w:t>
      </w:r>
      <w:r w:rsidR="00E7201B" w:rsidRPr="00E7201B">
        <w:rPr>
          <w:rFonts w:ascii="Arial" w:hAnsi="Arial" w:cs="Arial"/>
          <w:lang w:val="en-US" w:eastAsia="ko-KR"/>
        </w:rPr>
        <w:t>.</w:t>
      </w:r>
    </w:p>
    <w:p w14:paraId="45FC58C0" w14:textId="77F64A22" w:rsidR="00B145FC" w:rsidRDefault="00B145FC" w:rsidP="00B145FC">
      <w:pPr>
        <w:jc w:val="both"/>
        <w:rPr>
          <w:rFonts w:ascii="Arial" w:hAnsi="Arial" w:cs="Arial"/>
          <w:lang w:val="en-US" w:eastAsia="ko-KR"/>
        </w:rPr>
      </w:pPr>
      <w:r>
        <w:rPr>
          <w:rFonts w:ascii="Arial" w:hAnsi="Arial" w:cs="Arial"/>
          <w:lang w:val="en-US" w:eastAsia="ko-KR"/>
        </w:rPr>
        <w:t>Based on analysis of all possible cases, we have following proposals:</w:t>
      </w:r>
    </w:p>
    <w:p w14:paraId="7F67B5EC" w14:textId="002B1FE7" w:rsidR="00E35CA5" w:rsidRPr="000C685E" w:rsidRDefault="00B50539" w:rsidP="000C685E">
      <w:pPr>
        <w:rPr>
          <w:rFonts w:ascii="Arial" w:hAnsi="Arial" w:cs="Arial"/>
          <w:b/>
          <w:lang w:eastAsia="ja-JP"/>
        </w:rPr>
      </w:pPr>
      <w:r w:rsidRPr="000C685E">
        <w:rPr>
          <w:rFonts w:ascii="Arial" w:hAnsi="Arial" w:cs="Arial"/>
          <w:b/>
          <w:lang w:eastAsia="ja-JP"/>
        </w:rPr>
        <w:t xml:space="preserve">Proposal </w:t>
      </w:r>
      <w:r w:rsidR="008C744D">
        <w:rPr>
          <w:rFonts w:ascii="Arial" w:hAnsi="Arial" w:cs="Arial"/>
          <w:b/>
          <w:lang w:eastAsia="ja-JP"/>
        </w:rPr>
        <w:t>2</w:t>
      </w:r>
      <w:r w:rsidRPr="000C685E">
        <w:rPr>
          <w:rFonts w:ascii="Arial" w:hAnsi="Arial" w:cs="Arial"/>
          <w:b/>
          <w:lang w:eastAsia="ja-JP"/>
        </w:rPr>
        <w:t xml:space="preserve">: </w:t>
      </w:r>
      <w:r w:rsidR="00E7201B">
        <w:rPr>
          <w:rFonts w:ascii="Arial" w:hAnsi="Arial" w:cs="Arial"/>
          <w:b/>
          <w:lang w:eastAsia="ja-JP"/>
        </w:rPr>
        <w:t>HARQ process can continue when BWP switch</w:t>
      </w:r>
      <w:r w:rsidR="00765929">
        <w:rPr>
          <w:rFonts w:ascii="Arial" w:hAnsi="Arial" w:cs="Arial"/>
          <w:b/>
          <w:lang w:eastAsia="ja-JP"/>
        </w:rPr>
        <w:t>ing</w:t>
      </w:r>
      <w:r w:rsidR="00E7201B">
        <w:rPr>
          <w:rFonts w:ascii="Arial" w:hAnsi="Arial" w:cs="Arial"/>
          <w:b/>
          <w:lang w:eastAsia="ja-JP"/>
        </w:rPr>
        <w:t xml:space="preserve"> occurs.</w:t>
      </w:r>
    </w:p>
    <w:p w14:paraId="61BF61B4" w14:textId="1BA32643" w:rsidR="009D3895" w:rsidRDefault="008C744D" w:rsidP="009D3895">
      <w:pPr>
        <w:rPr>
          <w:rFonts w:ascii="Arial" w:hAnsi="Arial" w:cs="Arial"/>
          <w:b/>
          <w:lang w:eastAsia="ja-JP"/>
        </w:rPr>
      </w:pPr>
      <w:r>
        <w:rPr>
          <w:rFonts w:ascii="Arial" w:hAnsi="Arial" w:cs="Arial"/>
          <w:b/>
          <w:lang w:eastAsia="ja-JP"/>
        </w:rPr>
        <w:t>Proposal 3</w:t>
      </w:r>
      <w:r w:rsidR="009D3895" w:rsidRPr="00163E42">
        <w:rPr>
          <w:rFonts w:ascii="Arial" w:hAnsi="Arial" w:cs="Arial"/>
          <w:b/>
          <w:lang w:eastAsia="ja-JP"/>
        </w:rPr>
        <w:t xml:space="preserve">: </w:t>
      </w:r>
      <w:r w:rsidR="00E7201B">
        <w:rPr>
          <w:rFonts w:ascii="Arial" w:hAnsi="Arial" w:cs="Arial"/>
          <w:b/>
          <w:lang w:eastAsia="ja-JP"/>
        </w:rPr>
        <w:t>HARQ related counters and timers</w:t>
      </w:r>
      <w:r w:rsidR="00765929">
        <w:rPr>
          <w:rFonts w:ascii="Arial" w:hAnsi="Arial" w:cs="Arial"/>
          <w:b/>
          <w:lang w:eastAsia="ja-JP"/>
        </w:rPr>
        <w:t xml:space="preserve"> can</w:t>
      </w:r>
      <w:r w:rsidR="00E7201B">
        <w:rPr>
          <w:rFonts w:ascii="Arial" w:hAnsi="Arial" w:cs="Arial"/>
          <w:b/>
          <w:lang w:eastAsia="ja-JP"/>
        </w:rPr>
        <w:t xml:space="preserve"> continue when BWP switch</w:t>
      </w:r>
      <w:r w:rsidR="00765929">
        <w:rPr>
          <w:rFonts w:ascii="Arial" w:hAnsi="Arial" w:cs="Arial"/>
          <w:b/>
          <w:lang w:eastAsia="ja-JP"/>
        </w:rPr>
        <w:t>ing</w:t>
      </w:r>
      <w:r w:rsidR="00E7201B">
        <w:rPr>
          <w:rFonts w:ascii="Arial" w:hAnsi="Arial" w:cs="Arial"/>
          <w:b/>
          <w:lang w:eastAsia="ja-JP"/>
        </w:rPr>
        <w:t xml:space="preserve"> occurs</w:t>
      </w:r>
    </w:p>
    <w:p w14:paraId="50B96851" w14:textId="79B2874B" w:rsidR="008C744D" w:rsidRDefault="008C744D" w:rsidP="008C744D">
      <w:pPr>
        <w:jc w:val="both"/>
        <w:rPr>
          <w:rFonts w:ascii="Arial" w:hAnsi="Arial" w:cs="Arial"/>
          <w:lang w:val="en-US" w:eastAsia="ko-KR"/>
        </w:rPr>
      </w:pPr>
      <w:r>
        <w:rPr>
          <w:rFonts w:ascii="Arial" w:hAnsi="Arial" w:cs="Arial"/>
          <w:lang w:val="en-US" w:eastAsia="ko-KR"/>
        </w:rPr>
        <w:t xml:space="preserve">There are other issues like TTI bundling with HARQ when BWP switching occurs, we </w:t>
      </w:r>
      <w:r w:rsidR="00A1056A">
        <w:rPr>
          <w:rFonts w:ascii="Arial" w:hAnsi="Arial" w:cs="Arial"/>
          <w:lang w:val="en-US" w:eastAsia="ko-KR"/>
        </w:rPr>
        <w:t xml:space="preserve">believe that this issue can be </w:t>
      </w:r>
      <w:r>
        <w:rPr>
          <w:rFonts w:ascii="Arial" w:hAnsi="Arial" w:cs="Arial"/>
          <w:lang w:val="en-US" w:eastAsia="ko-KR"/>
        </w:rPr>
        <w:t>discuss</w:t>
      </w:r>
      <w:r w:rsidR="00A1056A">
        <w:rPr>
          <w:rFonts w:ascii="Arial" w:hAnsi="Arial" w:cs="Arial"/>
          <w:lang w:val="en-US" w:eastAsia="ko-KR"/>
        </w:rPr>
        <w:t>ed in RAN1</w:t>
      </w:r>
      <w:r>
        <w:rPr>
          <w:rFonts w:ascii="Arial" w:hAnsi="Arial" w:cs="Arial"/>
          <w:lang w:val="en-US" w:eastAsia="ko-KR"/>
        </w:rPr>
        <w:t xml:space="preserve"> it in this contribution since NR has flexible frame</w:t>
      </w:r>
      <w:r w:rsidR="001A56AD">
        <w:rPr>
          <w:rFonts w:ascii="Arial" w:hAnsi="Arial" w:cs="Arial"/>
          <w:lang w:val="en-US" w:eastAsia="ko-KR"/>
        </w:rPr>
        <w:t xml:space="preserve"> structure architecture design.</w:t>
      </w:r>
    </w:p>
    <w:p w14:paraId="592B9B6F" w14:textId="07FAAFD3" w:rsidR="00FB56A6" w:rsidRPr="002000A7" w:rsidRDefault="00FB56A6" w:rsidP="00FB56A6">
      <w:pPr>
        <w:pStyle w:val="Heading1"/>
        <w:rPr>
          <w:lang w:val="en-US" w:eastAsia="ko-KR"/>
        </w:rPr>
      </w:pPr>
      <w:r>
        <w:rPr>
          <w:lang w:val="en-US" w:eastAsia="ko-KR"/>
        </w:rPr>
        <w:t xml:space="preserve">3 </w:t>
      </w:r>
      <w:r w:rsidRPr="00FB56A6">
        <w:rPr>
          <w:lang w:val="en-US" w:eastAsia="ko-KR"/>
        </w:rPr>
        <w:t>Conclusion</w:t>
      </w:r>
      <w:r w:rsidR="00277A73">
        <w:rPr>
          <w:lang w:val="en-US" w:eastAsia="ko-KR"/>
        </w:rPr>
        <w:t>s</w:t>
      </w:r>
    </w:p>
    <w:p w14:paraId="4DA6F93E" w14:textId="7C36ECF1" w:rsidR="00FB56A6" w:rsidRDefault="00FB56A6" w:rsidP="00FB56A6">
      <w:pPr>
        <w:tabs>
          <w:tab w:val="left" w:pos="6728"/>
        </w:tabs>
        <w:rPr>
          <w:rFonts w:ascii="Arial" w:hAnsi="Arial" w:cs="Arial"/>
          <w:lang w:eastAsia="ja-JP"/>
        </w:rPr>
      </w:pPr>
      <w:r w:rsidRPr="000C685E">
        <w:rPr>
          <w:rFonts w:ascii="Arial" w:hAnsi="Arial" w:cs="Arial"/>
          <w:lang w:eastAsia="ja-JP"/>
        </w:rPr>
        <w:t>In this contr</w:t>
      </w:r>
      <w:r w:rsidR="004F484A" w:rsidRPr="000C685E">
        <w:rPr>
          <w:rFonts w:ascii="Arial" w:hAnsi="Arial" w:cs="Arial"/>
          <w:lang w:eastAsia="ja-JP"/>
        </w:rPr>
        <w:t xml:space="preserve">ibution, we </w:t>
      </w:r>
      <w:r w:rsidRPr="000C685E">
        <w:rPr>
          <w:rFonts w:ascii="Arial" w:hAnsi="Arial" w:cs="Arial"/>
          <w:lang w:eastAsia="ja-JP"/>
        </w:rPr>
        <w:t xml:space="preserve">addressed </w:t>
      </w:r>
      <w:r w:rsidR="004F484A" w:rsidRPr="000C685E">
        <w:rPr>
          <w:rFonts w:ascii="Arial" w:hAnsi="Arial" w:cs="Arial"/>
          <w:lang w:eastAsia="ja-JP"/>
        </w:rPr>
        <w:t xml:space="preserve">the </w:t>
      </w:r>
      <w:r w:rsidR="00E7201B">
        <w:rPr>
          <w:rFonts w:ascii="Arial" w:hAnsi="Arial" w:cs="Arial"/>
          <w:lang w:eastAsia="ja-JP"/>
        </w:rPr>
        <w:t>issues for HARQ when BWP switch</w:t>
      </w:r>
      <w:r w:rsidR="002858AA">
        <w:rPr>
          <w:rFonts w:ascii="Arial" w:hAnsi="Arial" w:cs="Arial"/>
          <w:lang w:eastAsia="ja-JP"/>
        </w:rPr>
        <w:t>ing</w:t>
      </w:r>
      <w:r w:rsidR="00E7201B">
        <w:rPr>
          <w:rFonts w:ascii="Arial" w:hAnsi="Arial" w:cs="Arial"/>
          <w:lang w:eastAsia="ja-JP"/>
        </w:rPr>
        <w:t xml:space="preserve"> occurs, based on above discussion, </w:t>
      </w:r>
      <w:r w:rsidR="004F484A" w:rsidRPr="000C685E">
        <w:rPr>
          <w:rFonts w:ascii="Arial" w:hAnsi="Arial" w:cs="Arial"/>
          <w:lang w:eastAsia="ja-JP"/>
        </w:rPr>
        <w:t>the followings are proposed:</w:t>
      </w:r>
    </w:p>
    <w:p w14:paraId="72BACB03" w14:textId="77777777" w:rsidR="00B965DE" w:rsidRPr="00B965DE" w:rsidRDefault="00B965DE" w:rsidP="00B965DE">
      <w:pPr>
        <w:rPr>
          <w:rFonts w:ascii="Arial" w:hAnsi="Arial" w:cs="Arial"/>
          <w:b/>
          <w:lang w:eastAsia="ja-JP"/>
        </w:rPr>
      </w:pPr>
      <w:r w:rsidRPr="00B965DE">
        <w:rPr>
          <w:rFonts w:ascii="Arial" w:hAnsi="Arial" w:cs="Arial"/>
          <w:b/>
          <w:lang w:eastAsia="ja-JP"/>
        </w:rPr>
        <w:t>Proposal 1: When gNB switches BWP to different numerology, it is up to gNB ensure that retransmission do not occur.</w:t>
      </w:r>
    </w:p>
    <w:p w14:paraId="030B1EBD" w14:textId="77777777" w:rsidR="00B965DE" w:rsidRPr="00B965DE" w:rsidRDefault="00B965DE" w:rsidP="00B965DE">
      <w:pPr>
        <w:rPr>
          <w:rFonts w:ascii="Arial" w:hAnsi="Arial" w:cs="Arial"/>
          <w:b/>
          <w:lang w:eastAsia="ja-JP"/>
        </w:rPr>
      </w:pPr>
      <w:r w:rsidRPr="00B965DE">
        <w:rPr>
          <w:rFonts w:ascii="Arial" w:hAnsi="Arial" w:cs="Arial"/>
          <w:b/>
          <w:lang w:eastAsia="ja-JP"/>
        </w:rPr>
        <w:t>Proposal 2: HARQ process can continue when BWP switching occurs.</w:t>
      </w:r>
    </w:p>
    <w:p w14:paraId="00085D4D" w14:textId="5CA6FAD2" w:rsidR="002858AA" w:rsidRDefault="00B965DE" w:rsidP="00B965DE">
      <w:pPr>
        <w:rPr>
          <w:rFonts w:ascii="Arial" w:hAnsi="Arial" w:cs="Arial"/>
          <w:b/>
          <w:lang w:eastAsia="ja-JP"/>
        </w:rPr>
      </w:pPr>
      <w:r w:rsidRPr="00B965DE">
        <w:rPr>
          <w:rFonts w:ascii="Arial" w:hAnsi="Arial" w:cs="Arial"/>
          <w:b/>
          <w:lang w:eastAsia="ja-JP"/>
        </w:rPr>
        <w:t>Proposal 3: HARQ related counters and timers can continue when BWP switching occurs</w:t>
      </w:r>
    </w:p>
    <w:p w14:paraId="73D17204" w14:textId="7916814E" w:rsidR="00277A73" w:rsidRDefault="00277A73" w:rsidP="00277A73">
      <w:pPr>
        <w:pStyle w:val="Heading1"/>
        <w:rPr>
          <w:lang w:val="en-US" w:eastAsia="ko-KR"/>
        </w:rPr>
      </w:pPr>
      <w:r>
        <w:rPr>
          <w:lang w:val="en-US" w:eastAsia="ko-KR"/>
        </w:rPr>
        <w:t>4 References</w:t>
      </w:r>
    </w:p>
    <w:p w14:paraId="33CA75D0" w14:textId="4C3EE4DB" w:rsidR="00277A73" w:rsidRDefault="006803FC" w:rsidP="0069350B">
      <w:pPr>
        <w:pStyle w:val="ListParagraph"/>
        <w:numPr>
          <w:ilvl w:val="0"/>
          <w:numId w:val="44"/>
        </w:numPr>
        <w:rPr>
          <w:rFonts w:ascii="Arial" w:hAnsi="Arial" w:cs="Arial"/>
          <w:sz w:val="20"/>
          <w:szCs w:val="20"/>
          <w:lang w:val="en-US" w:eastAsia="ko-KR"/>
        </w:rPr>
      </w:pPr>
      <w:r>
        <w:rPr>
          <w:rFonts w:ascii="Arial" w:hAnsi="Arial" w:cs="Arial"/>
          <w:sz w:val="20"/>
          <w:szCs w:val="20"/>
          <w:lang w:val="en-US" w:eastAsia="ko-KR"/>
        </w:rPr>
        <w:t>RAN 2 #99bis Chairman’s note.</w:t>
      </w:r>
    </w:p>
    <w:p w14:paraId="62C7C194" w14:textId="5F7596AA" w:rsidR="006803FC" w:rsidRPr="006803FC" w:rsidRDefault="006803FC" w:rsidP="006803FC">
      <w:pPr>
        <w:pStyle w:val="ListParagraph"/>
        <w:numPr>
          <w:ilvl w:val="0"/>
          <w:numId w:val="44"/>
        </w:numPr>
        <w:rPr>
          <w:rFonts w:ascii="Arial" w:hAnsi="Arial" w:cs="Arial"/>
          <w:sz w:val="20"/>
          <w:szCs w:val="20"/>
          <w:lang w:val="en-US" w:eastAsia="ko-KR"/>
        </w:rPr>
      </w:pPr>
      <w:r>
        <w:rPr>
          <w:rFonts w:ascii="Arial" w:hAnsi="Arial" w:cs="Arial"/>
          <w:sz w:val="20"/>
          <w:szCs w:val="20"/>
          <w:lang w:val="en-US" w:eastAsia="ko-KR"/>
        </w:rPr>
        <w:t>RAN 1 NR AH2 Chairman’s note.</w:t>
      </w:r>
    </w:p>
    <w:p w14:paraId="5369B883" w14:textId="1DA6165F" w:rsidR="00FB56A6" w:rsidRPr="0069350B" w:rsidRDefault="00FB56A6" w:rsidP="00FB56A6">
      <w:pPr>
        <w:tabs>
          <w:tab w:val="left" w:pos="6728"/>
        </w:tabs>
        <w:rPr>
          <w:lang w:eastAsia="ja-JP"/>
        </w:rPr>
      </w:pPr>
    </w:p>
    <w:sectPr w:rsidR="00FB56A6" w:rsidRPr="0069350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43793" w14:textId="77777777" w:rsidR="008A7651" w:rsidRDefault="008A7651">
      <w:r>
        <w:separator/>
      </w:r>
    </w:p>
  </w:endnote>
  <w:endnote w:type="continuationSeparator" w:id="0">
    <w:p w14:paraId="352ECB3B"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6313E" w14:textId="77777777" w:rsidR="008A7651" w:rsidRDefault="008A7651">
      <w:r>
        <w:separator/>
      </w:r>
    </w:p>
  </w:footnote>
  <w:footnote w:type="continuationSeparator" w:id="0">
    <w:p w14:paraId="21EF1045" w14:textId="77777777" w:rsidR="008A7651" w:rsidRDefault="008A7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223FC"/>
    <w:multiLevelType w:val="hybridMultilevel"/>
    <w:tmpl w:val="B53AF3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9C26205"/>
    <w:multiLevelType w:val="hybridMultilevel"/>
    <w:tmpl w:val="2C0AD030"/>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5534D5"/>
    <w:multiLevelType w:val="hybridMultilevel"/>
    <w:tmpl w:val="F1D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9"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3"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9"/>
  </w:num>
  <w:num w:numId="3">
    <w:abstractNumId w:val="18"/>
  </w:num>
  <w:num w:numId="4">
    <w:abstractNumId w:val="9"/>
  </w:num>
  <w:num w:numId="5">
    <w:abstractNumId w:val="43"/>
  </w:num>
  <w:num w:numId="6">
    <w:abstractNumId w:val="29"/>
  </w:num>
  <w:num w:numId="7">
    <w:abstractNumId w:val="26"/>
  </w:num>
  <w:num w:numId="8">
    <w:abstractNumId w:val="13"/>
  </w:num>
  <w:num w:numId="9">
    <w:abstractNumId w:val="33"/>
  </w:num>
  <w:num w:numId="10">
    <w:abstractNumId w:val="14"/>
  </w:num>
  <w:num w:numId="11">
    <w:abstractNumId w:val="5"/>
  </w:num>
  <w:num w:numId="12">
    <w:abstractNumId w:val="4"/>
  </w:num>
  <w:num w:numId="13">
    <w:abstractNumId w:val="34"/>
  </w:num>
  <w:num w:numId="14">
    <w:abstractNumId w:val="36"/>
  </w:num>
  <w:num w:numId="15">
    <w:abstractNumId w:val="15"/>
  </w:num>
  <w:num w:numId="16">
    <w:abstractNumId w:val="40"/>
  </w:num>
  <w:num w:numId="17">
    <w:abstractNumId w:val="24"/>
  </w:num>
  <w:num w:numId="18">
    <w:abstractNumId w:val="41"/>
  </w:num>
  <w:num w:numId="19">
    <w:abstractNumId w:val="37"/>
  </w:num>
  <w:num w:numId="20">
    <w:abstractNumId w:val="19"/>
  </w:num>
  <w:num w:numId="21">
    <w:abstractNumId w:val="0"/>
  </w:num>
  <w:num w:numId="22">
    <w:abstractNumId w:val="25"/>
  </w:num>
  <w:num w:numId="23">
    <w:abstractNumId w:val="10"/>
  </w:num>
  <w:num w:numId="24">
    <w:abstractNumId w:val="21"/>
  </w:num>
  <w:num w:numId="25">
    <w:abstractNumId w:val="3"/>
  </w:num>
  <w:num w:numId="26">
    <w:abstractNumId w:val="27"/>
  </w:num>
  <w:num w:numId="27">
    <w:abstractNumId w:val="42"/>
  </w:num>
  <w:num w:numId="28">
    <w:abstractNumId w:val="28"/>
  </w:num>
  <w:num w:numId="29">
    <w:abstractNumId w:val="35"/>
  </w:num>
  <w:num w:numId="30">
    <w:abstractNumId w:val="32"/>
  </w:num>
  <w:num w:numId="31">
    <w:abstractNumId w:val="23"/>
  </w:num>
  <w:num w:numId="32">
    <w:abstractNumId w:val="17"/>
  </w:num>
  <w:num w:numId="33">
    <w:abstractNumId w:val="30"/>
  </w:num>
  <w:num w:numId="34">
    <w:abstractNumId w:val="16"/>
  </w:num>
  <w:num w:numId="35">
    <w:abstractNumId w:val="8"/>
  </w:num>
  <w:num w:numId="36">
    <w:abstractNumId w:val="2"/>
  </w:num>
  <w:num w:numId="37">
    <w:abstractNumId w:val="31"/>
  </w:num>
  <w:num w:numId="38">
    <w:abstractNumId w:val="6"/>
  </w:num>
  <w:num w:numId="39">
    <w:abstractNumId w:val="22"/>
  </w:num>
  <w:num w:numId="40">
    <w:abstractNumId w:val="38"/>
  </w:num>
  <w:num w:numId="41">
    <w:abstractNumId w:val="1"/>
  </w:num>
  <w:num w:numId="42">
    <w:abstractNumId w:val="20"/>
  </w:num>
  <w:num w:numId="43">
    <w:abstractNumId w:val="7"/>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284A"/>
    <w:rsid w:val="00003B68"/>
    <w:rsid w:val="0000505D"/>
    <w:rsid w:val="00005799"/>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0A52"/>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2090"/>
    <w:rsid w:val="0005466B"/>
    <w:rsid w:val="000550DE"/>
    <w:rsid w:val="0005643C"/>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4B1C"/>
    <w:rsid w:val="00075128"/>
    <w:rsid w:val="000758A5"/>
    <w:rsid w:val="00075F67"/>
    <w:rsid w:val="00076D65"/>
    <w:rsid w:val="00077746"/>
    <w:rsid w:val="0008019C"/>
    <w:rsid w:val="00080B67"/>
    <w:rsid w:val="00082CF7"/>
    <w:rsid w:val="0008419D"/>
    <w:rsid w:val="00084768"/>
    <w:rsid w:val="00084830"/>
    <w:rsid w:val="00085800"/>
    <w:rsid w:val="000859A4"/>
    <w:rsid w:val="00086192"/>
    <w:rsid w:val="00086485"/>
    <w:rsid w:val="00087111"/>
    <w:rsid w:val="00087A7F"/>
    <w:rsid w:val="00090586"/>
    <w:rsid w:val="00090623"/>
    <w:rsid w:val="00090A9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85E"/>
    <w:rsid w:val="000C6BFC"/>
    <w:rsid w:val="000C6E8D"/>
    <w:rsid w:val="000C7C43"/>
    <w:rsid w:val="000D0AA6"/>
    <w:rsid w:val="000D0EAD"/>
    <w:rsid w:val="000D19E1"/>
    <w:rsid w:val="000D210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58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0F7FC5"/>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17FD0"/>
    <w:rsid w:val="001203E1"/>
    <w:rsid w:val="00120A9F"/>
    <w:rsid w:val="001214D4"/>
    <w:rsid w:val="00122F69"/>
    <w:rsid w:val="00124226"/>
    <w:rsid w:val="00124334"/>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3E42"/>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6AD"/>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0B4"/>
    <w:rsid w:val="001B7764"/>
    <w:rsid w:val="001C03F1"/>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07D59"/>
    <w:rsid w:val="00211BC8"/>
    <w:rsid w:val="00212493"/>
    <w:rsid w:val="002125A5"/>
    <w:rsid w:val="00212C42"/>
    <w:rsid w:val="0021307E"/>
    <w:rsid w:val="002135F1"/>
    <w:rsid w:val="00213889"/>
    <w:rsid w:val="00213B98"/>
    <w:rsid w:val="00214431"/>
    <w:rsid w:val="0021496E"/>
    <w:rsid w:val="00214C6C"/>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21"/>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4BFD"/>
    <w:rsid w:val="00235CC1"/>
    <w:rsid w:val="00236310"/>
    <w:rsid w:val="0023775C"/>
    <w:rsid w:val="002412AD"/>
    <w:rsid w:val="002418DC"/>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A73"/>
    <w:rsid w:val="00277C14"/>
    <w:rsid w:val="00280589"/>
    <w:rsid w:val="0028190B"/>
    <w:rsid w:val="00281A6C"/>
    <w:rsid w:val="00282C98"/>
    <w:rsid w:val="00282E85"/>
    <w:rsid w:val="0028453C"/>
    <w:rsid w:val="002858AA"/>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D23"/>
    <w:rsid w:val="002A2497"/>
    <w:rsid w:val="002A3D0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41C"/>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17EEC"/>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222"/>
    <w:rsid w:val="00444939"/>
    <w:rsid w:val="00444D81"/>
    <w:rsid w:val="00444E7E"/>
    <w:rsid w:val="00446A61"/>
    <w:rsid w:val="00446BC2"/>
    <w:rsid w:val="00447317"/>
    <w:rsid w:val="00450349"/>
    <w:rsid w:val="00451D52"/>
    <w:rsid w:val="00452B50"/>
    <w:rsid w:val="00452FA4"/>
    <w:rsid w:val="0045306C"/>
    <w:rsid w:val="00453A96"/>
    <w:rsid w:val="00453D3D"/>
    <w:rsid w:val="00454A01"/>
    <w:rsid w:val="00454A24"/>
    <w:rsid w:val="00454AB5"/>
    <w:rsid w:val="00454F53"/>
    <w:rsid w:val="00455862"/>
    <w:rsid w:val="00456B60"/>
    <w:rsid w:val="00460075"/>
    <w:rsid w:val="00460A8B"/>
    <w:rsid w:val="004633C5"/>
    <w:rsid w:val="004636E9"/>
    <w:rsid w:val="00463BBF"/>
    <w:rsid w:val="00463E97"/>
    <w:rsid w:val="00464715"/>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0AA"/>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0AA3"/>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484A"/>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DA2"/>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C6C3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078B"/>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03FC"/>
    <w:rsid w:val="006823D5"/>
    <w:rsid w:val="0068436F"/>
    <w:rsid w:val="00684866"/>
    <w:rsid w:val="00684F33"/>
    <w:rsid w:val="00686208"/>
    <w:rsid w:val="00687324"/>
    <w:rsid w:val="0068797A"/>
    <w:rsid w:val="00687CEB"/>
    <w:rsid w:val="00690277"/>
    <w:rsid w:val="006903C9"/>
    <w:rsid w:val="0069085C"/>
    <w:rsid w:val="0069276F"/>
    <w:rsid w:val="00692DD0"/>
    <w:rsid w:val="006932E0"/>
    <w:rsid w:val="0069350B"/>
    <w:rsid w:val="0069388E"/>
    <w:rsid w:val="006939BD"/>
    <w:rsid w:val="00693C62"/>
    <w:rsid w:val="006940E2"/>
    <w:rsid w:val="0069451C"/>
    <w:rsid w:val="006954DC"/>
    <w:rsid w:val="006A0910"/>
    <w:rsid w:val="006A0EB1"/>
    <w:rsid w:val="006A1246"/>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4EA8"/>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2D6"/>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0E66"/>
    <w:rsid w:val="007515FC"/>
    <w:rsid w:val="00751ECA"/>
    <w:rsid w:val="0075305E"/>
    <w:rsid w:val="00753622"/>
    <w:rsid w:val="0075461B"/>
    <w:rsid w:val="007546CE"/>
    <w:rsid w:val="007556DA"/>
    <w:rsid w:val="00755951"/>
    <w:rsid w:val="00756033"/>
    <w:rsid w:val="0075613A"/>
    <w:rsid w:val="007563DA"/>
    <w:rsid w:val="0075711F"/>
    <w:rsid w:val="007577A6"/>
    <w:rsid w:val="0075781A"/>
    <w:rsid w:val="00760095"/>
    <w:rsid w:val="007608F9"/>
    <w:rsid w:val="007622F5"/>
    <w:rsid w:val="0076274E"/>
    <w:rsid w:val="00765929"/>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E0901"/>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A7651"/>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C744D"/>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033"/>
    <w:rsid w:val="008F187D"/>
    <w:rsid w:val="008F3877"/>
    <w:rsid w:val="008F38E0"/>
    <w:rsid w:val="008F43C6"/>
    <w:rsid w:val="008F51BA"/>
    <w:rsid w:val="008F5322"/>
    <w:rsid w:val="008F5558"/>
    <w:rsid w:val="008F686C"/>
    <w:rsid w:val="008F6F70"/>
    <w:rsid w:val="008F75A8"/>
    <w:rsid w:val="009004DF"/>
    <w:rsid w:val="00900645"/>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02E3"/>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6C8B"/>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2F3B"/>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71E"/>
    <w:rsid w:val="00983C79"/>
    <w:rsid w:val="0098517A"/>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06D8"/>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895"/>
    <w:rsid w:val="009D3A23"/>
    <w:rsid w:val="009D3E26"/>
    <w:rsid w:val="009D467C"/>
    <w:rsid w:val="009D4B94"/>
    <w:rsid w:val="009D5235"/>
    <w:rsid w:val="009D5252"/>
    <w:rsid w:val="009D5A35"/>
    <w:rsid w:val="009D72B8"/>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4537"/>
    <w:rsid w:val="00A04F6F"/>
    <w:rsid w:val="00A0504A"/>
    <w:rsid w:val="00A051DE"/>
    <w:rsid w:val="00A05A51"/>
    <w:rsid w:val="00A0669C"/>
    <w:rsid w:val="00A07159"/>
    <w:rsid w:val="00A072D5"/>
    <w:rsid w:val="00A10114"/>
    <w:rsid w:val="00A1056A"/>
    <w:rsid w:val="00A106B6"/>
    <w:rsid w:val="00A10F52"/>
    <w:rsid w:val="00A1117B"/>
    <w:rsid w:val="00A115D5"/>
    <w:rsid w:val="00A12F7D"/>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2AD"/>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A74"/>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4BD1"/>
    <w:rsid w:val="00AB4F35"/>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23E5"/>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2FC7"/>
    <w:rsid w:val="00B1353B"/>
    <w:rsid w:val="00B13859"/>
    <w:rsid w:val="00B138FD"/>
    <w:rsid w:val="00B145FC"/>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66E"/>
    <w:rsid w:val="00B30787"/>
    <w:rsid w:val="00B30E1E"/>
    <w:rsid w:val="00B32438"/>
    <w:rsid w:val="00B32FFD"/>
    <w:rsid w:val="00B33ADA"/>
    <w:rsid w:val="00B33EFD"/>
    <w:rsid w:val="00B342DA"/>
    <w:rsid w:val="00B36C7C"/>
    <w:rsid w:val="00B3798F"/>
    <w:rsid w:val="00B40474"/>
    <w:rsid w:val="00B40C58"/>
    <w:rsid w:val="00B431B8"/>
    <w:rsid w:val="00B43B2A"/>
    <w:rsid w:val="00B43CE5"/>
    <w:rsid w:val="00B44EA5"/>
    <w:rsid w:val="00B455AD"/>
    <w:rsid w:val="00B456D9"/>
    <w:rsid w:val="00B45A40"/>
    <w:rsid w:val="00B45B5D"/>
    <w:rsid w:val="00B46699"/>
    <w:rsid w:val="00B4690B"/>
    <w:rsid w:val="00B46AF7"/>
    <w:rsid w:val="00B50539"/>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06"/>
    <w:rsid w:val="00B61654"/>
    <w:rsid w:val="00B62725"/>
    <w:rsid w:val="00B63156"/>
    <w:rsid w:val="00B63655"/>
    <w:rsid w:val="00B640A0"/>
    <w:rsid w:val="00B64799"/>
    <w:rsid w:val="00B64995"/>
    <w:rsid w:val="00B65A4C"/>
    <w:rsid w:val="00B702B5"/>
    <w:rsid w:val="00B71317"/>
    <w:rsid w:val="00B73271"/>
    <w:rsid w:val="00B7336C"/>
    <w:rsid w:val="00B7554E"/>
    <w:rsid w:val="00B75C5E"/>
    <w:rsid w:val="00B76647"/>
    <w:rsid w:val="00B769AB"/>
    <w:rsid w:val="00B77285"/>
    <w:rsid w:val="00B772FE"/>
    <w:rsid w:val="00B77827"/>
    <w:rsid w:val="00B8042E"/>
    <w:rsid w:val="00B81D26"/>
    <w:rsid w:val="00B82007"/>
    <w:rsid w:val="00B82348"/>
    <w:rsid w:val="00B8364F"/>
    <w:rsid w:val="00B839CD"/>
    <w:rsid w:val="00B848FF"/>
    <w:rsid w:val="00B85082"/>
    <w:rsid w:val="00B86AFA"/>
    <w:rsid w:val="00B87DA6"/>
    <w:rsid w:val="00B902E7"/>
    <w:rsid w:val="00B90900"/>
    <w:rsid w:val="00B90A51"/>
    <w:rsid w:val="00B913AA"/>
    <w:rsid w:val="00B92E54"/>
    <w:rsid w:val="00B93513"/>
    <w:rsid w:val="00B94DDE"/>
    <w:rsid w:val="00B965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573"/>
    <w:rsid w:val="00BC5F9D"/>
    <w:rsid w:val="00BC6DC0"/>
    <w:rsid w:val="00BC700C"/>
    <w:rsid w:val="00BC7775"/>
    <w:rsid w:val="00BC792D"/>
    <w:rsid w:val="00BD02CF"/>
    <w:rsid w:val="00BD03E1"/>
    <w:rsid w:val="00BD109A"/>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0D4A"/>
    <w:rsid w:val="00C13FA5"/>
    <w:rsid w:val="00C1498B"/>
    <w:rsid w:val="00C1511D"/>
    <w:rsid w:val="00C151BB"/>
    <w:rsid w:val="00C15240"/>
    <w:rsid w:val="00C156B3"/>
    <w:rsid w:val="00C15CFB"/>
    <w:rsid w:val="00C16E18"/>
    <w:rsid w:val="00C176C7"/>
    <w:rsid w:val="00C201A5"/>
    <w:rsid w:val="00C2047E"/>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B0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58E"/>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0C90"/>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0564"/>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B0"/>
    <w:rsid w:val="00D25DEF"/>
    <w:rsid w:val="00D2652A"/>
    <w:rsid w:val="00D27486"/>
    <w:rsid w:val="00D30410"/>
    <w:rsid w:val="00D30BFE"/>
    <w:rsid w:val="00D31362"/>
    <w:rsid w:val="00D31E83"/>
    <w:rsid w:val="00D334E5"/>
    <w:rsid w:val="00D35005"/>
    <w:rsid w:val="00D366A2"/>
    <w:rsid w:val="00D368AF"/>
    <w:rsid w:val="00D36D3B"/>
    <w:rsid w:val="00D37AC2"/>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65BC"/>
    <w:rsid w:val="00D575AA"/>
    <w:rsid w:val="00D57770"/>
    <w:rsid w:val="00D61AED"/>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140"/>
    <w:rsid w:val="00DA3561"/>
    <w:rsid w:val="00DA39B0"/>
    <w:rsid w:val="00DA4397"/>
    <w:rsid w:val="00DA5B72"/>
    <w:rsid w:val="00DB101D"/>
    <w:rsid w:val="00DB1614"/>
    <w:rsid w:val="00DB1E5C"/>
    <w:rsid w:val="00DB2449"/>
    <w:rsid w:val="00DB27FC"/>
    <w:rsid w:val="00DB4104"/>
    <w:rsid w:val="00DB4ACD"/>
    <w:rsid w:val="00DB53FF"/>
    <w:rsid w:val="00DB57F8"/>
    <w:rsid w:val="00DB5988"/>
    <w:rsid w:val="00DB65CC"/>
    <w:rsid w:val="00DB7113"/>
    <w:rsid w:val="00DB7B1A"/>
    <w:rsid w:val="00DB7B76"/>
    <w:rsid w:val="00DC00A6"/>
    <w:rsid w:val="00DC1F20"/>
    <w:rsid w:val="00DC2A0B"/>
    <w:rsid w:val="00DC2AD5"/>
    <w:rsid w:val="00DC6780"/>
    <w:rsid w:val="00DC770B"/>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A03"/>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35CA5"/>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3FF7"/>
    <w:rsid w:val="00E54D8A"/>
    <w:rsid w:val="00E55B23"/>
    <w:rsid w:val="00E560E1"/>
    <w:rsid w:val="00E56131"/>
    <w:rsid w:val="00E56388"/>
    <w:rsid w:val="00E567A7"/>
    <w:rsid w:val="00E56F6F"/>
    <w:rsid w:val="00E57343"/>
    <w:rsid w:val="00E6005E"/>
    <w:rsid w:val="00E6079E"/>
    <w:rsid w:val="00E60837"/>
    <w:rsid w:val="00E618F0"/>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0E"/>
    <w:rsid w:val="00E7153E"/>
    <w:rsid w:val="00E71C72"/>
    <w:rsid w:val="00E7201B"/>
    <w:rsid w:val="00E728CC"/>
    <w:rsid w:val="00E7370E"/>
    <w:rsid w:val="00E7450E"/>
    <w:rsid w:val="00E74645"/>
    <w:rsid w:val="00E81EE9"/>
    <w:rsid w:val="00E82C18"/>
    <w:rsid w:val="00E82EBA"/>
    <w:rsid w:val="00E82F81"/>
    <w:rsid w:val="00E87526"/>
    <w:rsid w:val="00E879BA"/>
    <w:rsid w:val="00E9039C"/>
    <w:rsid w:val="00E90D4D"/>
    <w:rsid w:val="00E91619"/>
    <w:rsid w:val="00E94C5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4F3A"/>
    <w:rsid w:val="00ED5420"/>
    <w:rsid w:val="00ED6E97"/>
    <w:rsid w:val="00ED770C"/>
    <w:rsid w:val="00ED7A50"/>
    <w:rsid w:val="00ED7EC8"/>
    <w:rsid w:val="00EE02EC"/>
    <w:rsid w:val="00EE059C"/>
    <w:rsid w:val="00EE0F19"/>
    <w:rsid w:val="00EE1061"/>
    <w:rsid w:val="00EE118F"/>
    <w:rsid w:val="00EE4B57"/>
    <w:rsid w:val="00EE51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2C3C"/>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777"/>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6A6"/>
    <w:rsid w:val="00FB581A"/>
    <w:rsid w:val="00FB5ED4"/>
    <w:rsid w:val="00FB6386"/>
    <w:rsid w:val="00FB663D"/>
    <w:rsid w:val="00FB6F7F"/>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957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4290154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5050831">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597256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6931684">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2C86-57B2-4801-B982-02487D8A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2017-11-17T06:06:00Z</dcterms:created>
  <dcterms:modified xsi:type="dcterms:W3CDTF">2017-11-17T06:06:00Z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